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9DA29" w14:textId="77777777" w:rsidR="00833983" w:rsidRPr="00D62BD1" w:rsidRDefault="00833983" w:rsidP="00833983">
      <w:pPr>
        <w:pStyle w:val="Titre"/>
        <w:jc w:val="center"/>
        <w:rPr>
          <w:lang w:val="fr-FR"/>
        </w:rPr>
      </w:pPr>
      <w:r w:rsidRPr="00D62BD1">
        <w:rPr>
          <w:lang w:val="fr-FR"/>
        </w:rPr>
        <w:t>Formation Gérer la douleur</w:t>
      </w:r>
    </w:p>
    <w:p w14:paraId="7F83585E" w14:textId="637F6533" w:rsidR="00833983" w:rsidRPr="00D62BD1" w:rsidRDefault="00833983" w:rsidP="00833983">
      <w:pPr>
        <w:pStyle w:val="Sous-titre"/>
        <w:jc w:val="center"/>
        <w:rPr>
          <w:lang w:val="fr-FR"/>
        </w:rPr>
      </w:pPr>
      <w:r w:rsidRPr="00D62BD1">
        <w:rPr>
          <w:lang w:val="fr-FR"/>
        </w:rPr>
        <w:t>Anthony HALIMI –</w:t>
      </w:r>
      <w:r w:rsidR="00E046FF">
        <w:rPr>
          <w:lang w:val="fr-FR"/>
        </w:rPr>
        <w:t xml:space="preserve"> </w:t>
      </w:r>
      <w:r w:rsidRPr="00D62BD1">
        <w:rPr>
          <w:lang w:val="fr-FR"/>
        </w:rPr>
        <w:t>FORMATION</w:t>
      </w:r>
    </w:p>
    <w:p w14:paraId="6CE2098E" w14:textId="77777777" w:rsidR="00833983" w:rsidRPr="00D62BD1" w:rsidRDefault="00833983" w:rsidP="00833983">
      <w:pPr>
        <w:pStyle w:val="Titre1"/>
        <w:rPr>
          <w:lang w:val="fr-FR"/>
        </w:rPr>
      </w:pPr>
      <w:r w:rsidRPr="00D62BD1">
        <w:rPr>
          <w:lang w:val="fr-FR"/>
        </w:rPr>
        <w:t>Présentation</w:t>
      </w:r>
    </w:p>
    <w:p w14:paraId="607EE2EE" w14:textId="1D1A6C8B" w:rsidR="00D62BD1" w:rsidRDefault="00D62BD1" w:rsidP="00C35720">
      <w:pPr>
        <w:ind w:firstLine="708"/>
        <w:jc w:val="both"/>
        <w:rPr>
          <w:rStyle w:val="3oh-"/>
          <w:lang w:val="fr-FR"/>
        </w:rPr>
      </w:pPr>
      <w:r w:rsidRPr="00D62BD1">
        <w:rPr>
          <w:rStyle w:val="3oh-"/>
          <w:lang w:val="fr-FR"/>
        </w:rPr>
        <w:t xml:space="preserve">À l’issue de cette formation, le professionnel sera en mesure d’avoir une vue d’ensemble sur les connaissances et théories qui gouvernent aujourd’hui notre compréhension de la douleur. </w:t>
      </w:r>
    </w:p>
    <w:p w14:paraId="19C2E04C" w14:textId="77777777" w:rsidR="00D62BD1" w:rsidRDefault="00D62BD1" w:rsidP="00C35720">
      <w:pPr>
        <w:ind w:firstLine="708"/>
        <w:jc w:val="both"/>
        <w:rPr>
          <w:rStyle w:val="3oh-"/>
          <w:lang w:val="fr-FR"/>
        </w:rPr>
      </w:pPr>
    </w:p>
    <w:p w14:paraId="0BBE42EE" w14:textId="6423883E" w:rsidR="00D62BD1" w:rsidRDefault="00D62BD1" w:rsidP="00C35720">
      <w:pPr>
        <w:ind w:firstLine="708"/>
        <w:jc w:val="both"/>
        <w:rPr>
          <w:rStyle w:val="3oh-"/>
          <w:lang w:val="fr-FR"/>
        </w:rPr>
      </w:pPr>
      <w:r w:rsidRPr="00D62BD1">
        <w:rPr>
          <w:rStyle w:val="3oh-"/>
          <w:lang w:val="fr-FR"/>
        </w:rPr>
        <w:t>Il sera capable d’élaborer une prise en charge de la douleur patient-centrée. Pour ce faire, il apprendra à repérer quand référer le patient en cas de pathologie grave (ex : pathologie neurologique s’aggravant, deficit en vitamin B12,…), de pathologie rare (ex : syndrome d’ehler-danlos…), de pathologie psychiatrique…</w:t>
      </w:r>
    </w:p>
    <w:p w14:paraId="422E9B0C" w14:textId="77777777" w:rsidR="00D62BD1" w:rsidRDefault="00D62BD1" w:rsidP="00C35720">
      <w:pPr>
        <w:ind w:firstLine="708"/>
        <w:jc w:val="both"/>
        <w:rPr>
          <w:rStyle w:val="3oh-"/>
          <w:lang w:val="fr-FR"/>
        </w:rPr>
      </w:pPr>
    </w:p>
    <w:p w14:paraId="3AF1816F" w14:textId="0067F0B1" w:rsidR="00D62BD1" w:rsidRDefault="00D62BD1" w:rsidP="00C35720">
      <w:pPr>
        <w:ind w:firstLine="708"/>
        <w:jc w:val="both"/>
        <w:rPr>
          <w:rStyle w:val="3oh-"/>
          <w:lang w:val="fr-FR"/>
        </w:rPr>
      </w:pPr>
      <w:r w:rsidRPr="00D62BD1">
        <w:rPr>
          <w:rStyle w:val="3oh-"/>
          <w:lang w:val="fr-FR"/>
        </w:rPr>
        <w:t>Il acquérira un raisonnement clinique lui permettant de s’adapter aux différentes dysfonctions du système sensori</w:t>
      </w:r>
      <w:r w:rsidR="00692BCC">
        <w:rPr>
          <w:rStyle w:val="3oh-"/>
          <w:lang w:val="fr-FR"/>
        </w:rPr>
        <w:t>e</w:t>
      </w:r>
      <w:r w:rsidRPr="00D62BD1">
        <w:rPr>
          <w:rStyle w:val="3oh-"/>
          <w:lang w:val="fr-FR"/>
        </w:rPr>
        <w:t>l et de la douleur impliquées. Pour son traitement, il intègrera des outils qu’il maîtrise déjà comme l’exercice thérapeutique et la thérapie manuelle et découvrira de nouveaux outils tels que de l’imagerie motrice et divers aspects communicationnels.</w:t>
      </w:r>
    </w:p>
    <w:p w14:paraId="224D7D77" w14:textId="44096CC4" w:rsidR="00D62BD1" w:rsidRDefault="00D62BD1" w:rsidP="00C35720">
      <w:pPr>
        <w:ind w:firstLine="708"/>
        <w:jc w:val="both"/>
        <w:rPr>
          <w:rStyle w:val="3oh-"/>
          <w:lang w:val="fr-FR"/>
        </w:rPr>
      </w:pPr>
    </w:p>
    <w:p w14:paraId="389E6B9A" w14:textId="0C0F97E9" w:rsidR="00D62BD1" w:rsidRDefault="00D62BD1" w:rsidP="00C35720">
      <w:pPr>
        <w:ind w:firstLine="708"/>
        <w:jc w:val="both"/>
        <w:rPr>
          <w:rStyle w:val="3oh-"/>
          <w:lang w:val="fr-FR"/>
        </w:rPr>
      </w:pPr>
      <w:r w:rsidRPr="00D62BD1">
        <w:rPr>
          <w:rStyle w:val="3oh-"/>
          <w:lang w:val="fr-FR"/>
        </w:rPr>
        <w:t>La communication nouvellement maîtrisée permettra de savoir mener l'anamnèse afin d'identifier les facteurs biologiques, psychologiques et sociaux en jeu dans la symptomatologie. Elle assurera également la création d'effets contextuels positifs par la sélection de certains mots jugés comme ayant moins d'effet nocebo. Enfin elle permettra l'initiation de nouveaux comportements salutaires tels que la pratique d'une activité physique par des discours empruntés au questionnement socratique, l'entretien motivationnel et l'entretien épistémique.</w:t>
      </w:r>
    </w:p>
    <w:p w14:paraId="7FF0574E" w14:textId="77777777" w:rsidR="00A51ECC" w:rsidRDefault="00A51ECC" w:rsidP="00A51ECC">
      <w:pPr>
        <w:spacing w:after="160" w:line="259" w:lineRule="auto"/>
        <w:rPr>
          <w:lang w:val="fr-FR"/>
        </w:rPr>
      </w:pPr>
    </w:p>
    <w:p w14:paraId="30289F6D" w14:textId="3BCB43AF" w:rsidR="00833983" w:rsidRPr="00D62BD1" w:rsidRDefault="00833983" w:rsidP="00A51ECC">
      <w:pPr>
        <w:pStyle w:val="Titre1"/>
        <w:rPr>
          <w:lang w:val="fr-FR"/>
        </w:rPr>
      </w:pPr>
      <w:r w:rsidRPr="00D62BD1">
        <w:rPr>
          <w:lang w:val="fr-FR"/>
        </w:rPr>
        <w:t>Programme détaillé</w:t>
      </w:r>
    </w:p>
    <w:tbl>
      <w:tblPr>
        <w:tblStyle w:val="TableauGrille5Fonc-Accentuation6"/>
        <w:tblW w:w="11057" w:type="dxa"/>
        <w:tblInd w:w="-998" w:type="dxa"/>
        <w:tblLayout w:type="fixed"/>
        <w:tblLook w:val="0400" w:firstRow="0" w:lastRow="0" w:firstColumn="0" w:lastColumn="0" w:noHBand="0" w:noVBand="1"/>
      </w:tblPr>
      <w:tblGrid>
        <w:gridCol w:w="1584"/>
        <w:gridCol w:w="1818"/>
        <w:gridCol w:w="2977"/>
        <w:gridCol w:w="2410"/>
        <w:gridCol w:w="2268"/>
      </w:tblGrid>
      <w:tr w:rsidR="00A51ECC" w:rsidRPr="00784FBC" w14:paraId="63CD0DA1" w14:textId="77777777" w:rsidTr="008F625B">
        <w:trPr>
          <w:cnfStyle w:val="000000100000" w:firstRow="0" w:lastRow="0" w:firstColumn="0" w:lastColumn="0" w:oddVBand="0" w:evenVBand="0" w:oddHBand="1" w:evenHBand="0" w:firstRowFirstColumn="0" w:firstRowLastColumn="0" w:lastRowFirstColumn="0" w:lastRowLastColumn="0"/>
          <w:trHeight w:val="406"/>
        </w:trPr>
        <w:tc>
          <w:tcPr>
            <w:tcW w:w="11057" w:type="dxa"/>
            <w:gridSpan w:val="5"/>
            <w:shd w:val="clear" w:color="auto" w:fill="FFFFFF" w:themeFill="background1"/>
          </w:tcPr>
          <w:p w14:paraId="68DC3AEA" w14:textId="7DF1092F" w:rsidR="00A51ECC" w:rsidRPr="00A51ECC" w:rsidRDefault="00A51ECC" w:rsidP="00A51ECC">
            <w:pPr>
              <w:pStyle w:val="Normal1"/>
              <w:ind w:firstLine="280"/>
              <w:jc w:val="center"/>
              <w:rPr>
                <w:rFonts w:ascii="Helvetica Neue" w:eastAsia="Helvetica Neue" w:hAnsi="Helvetica Neue" w:cs="Helvetica Neue"/>
                <w:b/>
                <w:bCs/>
                <w:sz w:val="18"/>
                <w:szCs w:val="18"/>
                <w:lang w:val="fr-FR"/>
              </w:rPr>
            </w:pPr>
            <w:r w:rsidRPr="00A51ECC">
              <w:rPr>
                <w:rFonts w:ascii="Helvetica Neue" w:eastAsia="Helvetica Neue" w:hAnsi="Helvetica Neue" w:cs="Helvetica Neue"/>
                <w:b/>
                <w:bCs/>
                <w:sz w:val="30"/>
                <w:szCs w:val="30"/>
                <w:lang w:val="fr-FR"/>
              </w:rPr>
              <w:t>Jour 1</w:t>
            </w:r>
          </w:p>
        </w:tc>
      </w:tr>
      <w:tr w:rsidR="00A51ECC" w:rsidRPr="00784FBC" w14:paraId="45834573" w14:textId="77777777" w:rsidTr="00A51ECC">
        <w:trPr>
          <w:trHeight w:val="406"/>
        </w:trPr>
        <w:tc>
          <w:tcPr>
            <w:tcW w:w="1584" w:type="dxa"/>
            <w:shd w:val="clear" w:color="auto" w:fill="000000" w:themeFill="text1"/>
          </w:tcPr>
          <w:p w14:paraId="49C8E22F" w14:textId="53621C3A" w:rsidR="00A51ECC" w:rsidRPr="00A51ECC" w:rsidRDefault="00A51ECC" w:rsidP="00A51ECC">
            <w:pPr>
              <w:pStyle w:val="Normal1"/>
              <w:pBdr>
                <w:top w:val="nil"/>
                <w:left w:val="nil"/>
                <w:bottom w:val="nil"/>
                <w:right w:val="nil"/>
                <w:between w:val="nil"/>
              </w:pBdr>
              <w:rPr>
                <w:rFonts w:ascii="Helvetica Neue" w:eastAsia="Helvetica Neue" w:hAnsi="Helvetica Neue" w:cs="Helvetica Neue"/>
                <w:color w:val="FFFFFF" w:themeColor="background1"/>
                <w:sz w:val="18"/>
                <w:szCs w:val="18"/>
                <w:lang w:val="fr-FR"/>
              </w:rPr>
            </w:pPr>
            <w:r w:rsidRPr="00A51ECC">
              <w:rPr>
                <w:rFonts w:ascii="Helvetica Neue" w:eastAsia="Helvetica Neue" w:hAnsi="Helvetica Neue" w:cs="Helvetica Neue"/>
                <w:color w:val="FFFFFF" w:themeColor="background1"/>
                <w:sz w:val="18"/>
                <w:szCs w:val="18"/>
                <w:lang w:val="fr-FR"/>
              </w:rPr>
              <w:t>Horaire</w:t>
            </w:r>
          </w:p>
        </w:tc>
        <w:tc>
          <w:tcPr>
            <w:tcW w:w="1818" w:type="dxa"/>
            <w:shd w:val="clear" w:color="auto" w:fill="000000" w:themeFill="text1"/>
          </w:tcPr>
          <w:p w14:paraId="3A9A1086" w14:textId="75E1CE22" w:rsidR="00A51ECC" w:rsidRPr="00A51ECC" w:rsidRDefault="00A51ECC" w:rsidP="00A51ECC">
            <w:pPr>
              <w:pStyle w:val="Normal1"/>
              <w:pBdr>
                <w:top w:val="nil"/>
                <w:left w:val="nil"/>
                <w:bottom w:val="nil"/>
                <w:right w:val="nil"/>
                <w:between w:val="nil"/>
              </w:pBdr>
              <w:rPr>
                <w:rFonts w:ascii="Helvetica Neue" w:eastAsia="Helvetica Neue" w:hAnsi="Helvetica Neue" w:cs="Helvetica Neue"/>
                <w:b/>
                <w:color w:val="FFFFFF" w:themeColor="background1"/>
                <w:sz w:val="18"/>
                <w:szCs w:val="18"/>
                <w:u w:val="single"/>
                <w:lang w:val="fr-FR"/>
              </w:rPr>
            </w:pPr>
            <w:r w:rsidRPr="00A51ECC">
              <w:rPr>
                <w:rFonts w:ascii="Helvetica Neue" w:eastAsia="Helvetica Neue" w:hAnsi="Helvetica Neue" w:cs="Helvetica Neue"/>
                <w:b/>
                <w:color w:val="FFFFFF" w:themeColor="background1"/>
                <w:sz w:val="18"/>
                <w:szCs w:val="18"/>
                <w:u w:val="single"/>
                <w:lang w:val="fr-FR"/>
              </w:rPr>
              <w:t>Thème</w:t>
            </w:r>
          </w:p>
        </w:tc>
        <w:tc>
          <w:tcPr>
            <w:tcW w:w="2977" w:type="dxa"/>
            <w:shd w:val="clear" w:color="auto" w:fill="000000" w:themeFill="text1"/>
          </w:tcPr>
          <w:p w14:paraId="4378AA4A" w14:textId="72ADF239" w:rsidR="00A51ECC" w:rsidRPr="00A51ECC" w:rsidRDefault="00A51ECC" w:rsidP="00A51ECC">
            <w:pPr>
              <w:pStyle w:val="Normal1"/>
              <w:rPr>
                <w:rFonts w:ascii="Helvetica Neue" w:eastAsia="Helvetica Neue" w:hAnsi="Helvetica Neue" w:cs="Helvetica Neue"/>
                <w:color w:val="FFFFFF" w:themeColor="background1"/>
                <w:sz w:val="18"/>
                <w:szCs w:val="18"/>
                <w:lang w:val="fr-FR"/>
              </w:rPr>
            </w:pPr>
            <w:r w:rsidRPr="00A51ECC">
              <w:rPr>
                <w:rFonts w:ascii="Helvetica Neue" w:eastAsia="Helvetica Neue" w:hAnsi="Helvetica Neue" w:cs="Helvetica Neue"/>
                <w:color w:val="FFFFFF" w:themeColor="background1"/>
                <w:sz w:val="18"/>
                <w:szCs w:val="18"/>
                <w:lang w:val="fr-FR"/>
              </w:rPr>
              <w:t>Élément de contenu</w:t>
            </w:r>
          </w:p>
        </w:tc>
        <w:tc>
          <w:tcPr>
            <w:tcW w:w="2410" w:type="dxa"/>
            <w:shd w:val="clear" w:color="auto" w:fill="000000" w:themeFill="text1"/>
          </w:tcPr>
          <w:p w14:paraId="0729A8E9" w14:textId="163268EC" w:rsidR="00A51ECC" w:rsidRPr="00A51ECC" w:rsidRDefault="00A51ECC" w:rsidP="00A51ECC">
            <w:pPr>
              <w:pStyle w:val="Normal1"/>
              <w:ind w:firstLine="280"/>
              <w:rPr>
                <w:rFonts w:ascii="Helvetica Neue" w:eastAsia="Helvetica Neue" w:hAnsi="Helvetica Neue" w:cs="Helvetica Neue"/>
                <w:color w:val="FFFFFF" w:themeColor="background1"/>
                <w:sz w:val="18"/>
                <w:szCs w:val="18"/>
                <w:lang w:val="fr-FR"/>
              </w:rPr>
            </w:pPr>
            <w:r w:rsidRPr="00A51ECC">
              <w:rPr>
                <w:rFonts w:ascii="Helvetica Neue" w:eastAsia="Helvetica Neue" w:hAnsi="Helvetica Neue" w:cs="Helvetica Neue"/>
                <w:color w:val="FFFFFF" w:themeColor="background1"/>
                <w:sz w:val="18"/>
                <w:szCs w:val="18"/>
                <w:lang w:val="fr-FR"/>
              </w:rPr>
              <w:t>Objectif spécifique</w:t>
            </w:r>
          </w:p>
        </w:tc>
        <w:tc>
          <w:tcPr>
            <w:tcW w:w="2268" w:type="dxa"/>
            <w:shd w:val="clear" w:color="auto" w:fill="000000" w:themeFill="text1"/>
          </w:tcPr>
          <w:p w14:paraId="6441A5D2" w14:textId="26EFF516" w:rsidR="00A51ECC" w:rsidRPr="00A51ECC" w:rsidRDefault="00A51ECC" w:rsidP="00A51ECC">
            <w:pPr>
              <w:pStyle w:val="Normal1"/>
              <w:ind w:firstLine="280"/>
              <w:rPr>
                <w:rFonts w:ascii="Helvetica Neue" w:eastAsia="Helvetica Neue" w:hAnsi="Helvetica Neue" w:cs="Helvetica Neue"/>
                <w:color w:val="FFFFFF" w:themeColor="background1"/>
                <w:sz w:val="18"/>
                <w:szCs w:val="18"/>
                <w:lang w:val="fr-FR"/>
              </w:rPr>
            </w:pPr>
            <w:r w:rsidRPr="00A51ECC">
              <w:rPr>
                <w:rFonts w:ascii="Helvetica Neue" w:eastAsia="Helvetica Neue" w:hAnsi="Helvetica Neue" w:cs="Helvetica Neue"/>
                <w:color w:val="FFFFFF" w:themeColor="background1"/>
                <w:sz w:val="18"/>
                <w:szCs w:val="18"/>
                <w:lang w:val="fr-FR"/>
              </w:rPr>
              <w:t>Modalité d’évaluation</w:t>
            </w:r>
          </w:p>
        </w:tc>
      </w:tr>
      <w:tr w:rsidR="00483A34" w:rsidRPr="00784FBC" w14:paraId="40C67D83" w14:textId="77777777" w:rsidTr="00A83E0E">
        <w:trPr>
          <w:cnfStyle w:val="000000100000" w:firstRow="0" w:lastRow="0" w:firstColumn="0" w:lastColumn="0" w:oddVBand="0" w:evenVBand="0" w:oddHBand="1" w:evenHBand="0" w:firstRowFirstColumn="0" w:firstRowLastColumn="0" w:lastRowFirstColumn="0" w:lastRowLastColumn="0"/>
        </w:trPr>
        <w:tc>
          <w:tcPr>
            <w:tcW w:w="1584" w:type="dxa"/>
          </w:tcPr>
          <w:p w14:paraId="4C90C589" w14:textId="10159E18" w:rsidR="00483A34" w:rsidRPr="00784FBC" w:rsidRDefault="00483A34" w:rsidP="00757760">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sidRPr="00784FBC">
              <w:rPr>
                <w:rFonts w:ascii="Helvetica Neue" w:eastAsia="Helvetica Neue" w:hAnsi="Helvetica Neue" w:cs="Helvetica Neue"/>
                <w:color w:val="000000"/>
                <w:sz w:val="18"/>
                <w:szCs w:val="18"/>
                <w:lang w:val="fr-FR"/>
              </w:rPr>
              <w:t>8h30 –  9h00</w:t>
            </w:r>
            <w:r w:rsidR="00A83E0E">
              <w:rPr>
                <w:rFonts w:ascii="Helvetica Neue" w:eastAsia="Helvetica Neue" w:hAnsi="Helvetica Neue" w:cs="Helvetica Neue"/>
                <w:color w:val="000000"/>
                <w:sz w:val="18"/>
                <w:szCs w:val="18"/>
                <w:lang w:val="fr-FR"/>
              </w:rPr>
              <w:br/>
            </w:r>
            <w:r>
              <w:rPr>
                <w:rFonts w:ascii="Helvetica Neue" w:eastAsia="Helvetica Neue" w:hAnsi="Helvetica Neue" w:cs="Helvetica Neue"/>
                <w:color w:val="000000"/>
                <w:sz w:val="18"/>
                <w:szCs w:val="18"/>
                <w:lang w:val="fr-FR"/>
              </w:rPr>
              <w:t>(30 minutes)</w:t>
            </w:r>
          </w:p>
        </w:tc>
        <w:tc>
          <w:tcPr>
            <w:tcW w:w="1818" w:type="dxa"/>
          </w:tcPr>
          <w:p w14:paraId="68F6EFC2" w14:textId="77777777" w:rsidR="00483A34" w:rsidRPr="00784FBC" w:rsidRDefault="00483A34" w:rsidP="00757760">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Présentation et objectifs</w:t>
            </w:r>
          </w:p>
        </w:tc>
        <w:tc>
          <w:tcPr>
            <w:tcW w:w="2977" w:type="dxa"/>
          </w:tcPr>
          <w:p w14:paraId="4B4E2936" w14:textId="395D8306" w:rsidR="00483A34" w:rsidRDefault="00984E6B" w:rsidP="00945346">
            <w:pPr>
              <w:pStyle w:val="Normal1"/>
              <w:pBdr>
                <w:top w:val="nil"/>
                <w:left w:val="nil"/>
                <w:bottom w:val="nil"/>
                <w:right w:val="nil"/>
                <w:between w:val="nil"/>
              </w:pBdr>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Discussions et présentations</w:t>
            </w:r>
          </w:p>
        </w:tc>
        <w:tc>
          <w:tcPr>
            <w:tcW w:w="2410" w:type="dxa"/>
          </w:tcPr>
          <w:p w14:paraId="028F9B83" w14:textId="61DC2B70" w:rsidR="00483A34" w:rsidRDefault="00984E6B" w:rsidP="00945346">
            <w:pPr>
              <w:pStyle w:val="Normal1"/>
              <w:pBdr>
                <w:top w:val="nil"/>
                <w:left w:val="nil"/>
                <w:bottom w:val="nil"/>
                <w:right w:val="nil"/>
                <w:between w:val="nil"/>
              </w:pBdr>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Recueil des attentes et mise en place des bases théoriques à posséder</w:t>
            </w:r>
          </w:p>
        </w:tc>
        <w:tc>
          <w:tcPr>
            <w:tcW w:w="2268" w:type="dxa"/>
          </w:tcPr>
          <w:p w14:paraId="6458E142" w14:textId="64EB20E1" w:rsidR="00483A34" w:rsidRPr="00784FBC" w:rsidRDefault="00984E6B" w:rsidP="00945346">
            <w:pPr>
              <w:pStyle w:val="Normal1"/>
              <w:pBdr>
                <w:top w:val="nil"/>
                <w:left w:val="nil"/>
                <w:bottom w:val="nil"/>
                <w:right w:val="nil"/>
                <w:between w:val="nil"/>
              </w:pBdr>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Non sujet à évaluation</w:t>
            </w:r>
          </w:p>
        </w:tc>
      </w:tr>
      <w:tr w:rsidR="00483A34" w:rsidRPr="00E046FF" w14:paraId="2706F39D" w14:textId="77777777" w:rsidTr="00A83E0E">
        <w:tc>
          <w:tcPr>
            <w:tcW w:w="1584" w:type="dxa"/>
          </w:tcPr>
          <w:p w14:paraId="19C9F0F2" w14:textId="2AE018BC" w:rsidR="00483A34" w:rsidRPr="00784FBC" w:rsidRDefault="00483A34" w:rsidP="00BA745F">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sidRPr="00784FBC">
              <w:rPr>
                <w:rFonts w:ascii="Helvetica Neue" w:eastAsia="Helvetica Neue" w:hAnsi="Helvetica Neue" w:cs="Helvetica Neue"/>
                <w:color w:val="000000"/>
                <w:sz w:val="18"/>
                <w:szCs w:val="18"/>
                <w:lang w:val="fr-FR"/>
              </w:rPr>
              <w:t xml:space="preserve">9h00 –  </w:t>
            </w:r>
            <w:r>
              <w:rPr>
                <w:rFonts w:ascii="Helvetica Neue" w:eastAsia="Helvetica Neue" w:hAnsi="Helvetica Neue" w:cs="Helvetica Neue"/>
                <w:color w:val="000000"/>
                <w:sz w:val="18"/>
                <w:szCs w:val="18"/>
                <w:lang w:val="fr-FR"/>
              </w:rPr>
              <w:t>10h00</w:t>
            </w:r>
            <w:r w:rsidR="00A83E0E">
              <w:rPr>
                <w:rFonts w:ascii="Helvetica Neue" w:eastAsia="Helvetica Neue" w:hAnsi="Helvetica Neue" w:cs="Helvetica Neue"/>
                <w:color w:val="000000"/>
                <w:sz w:val="18"/>
                <w:szCs w:val="18"/>
                <w:lang w:val="fr-FR"/>
              </w:rPr>
              <w:br/>
            </w:r>
            <w:r>
              <w:rPr>
                <w:rFonts w:ascii="Helvetica Neue" w:eastAsia="Helvetica Neue" w:hAnsi="Helvetica Neue" w:cs="Helvetica Neue"/>
                <w:color w:val="000000"/>
                <w:sz w:val="18"/>
                <w:szCs w:val="18"/>
                <w:lang w:val="fr-FR"/>
              </w:rPr>
              <w:t>(1 heure)</w:t>
            </w:r>
          </w:p>
        </w:tc>
        <w:tc>
          <w:tcPr>
            <w:tcW w:w="1818" w:type="dxa"/>
          </w:tcPr>
          <w:p w14:paraId="732D2C08" w14:textId="77777777" w:rsidR="00483A34" w:rsidRPr="00784FBC" w:rsidRDefault="00483A34" w:rsidP="00757760">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La nociception</w:t>
            </w:r>
          </w:p>
        </w:tc>
        <w:tc>
          <w:tcPr>
            <w:tcW w:w="2977" w:type="dxa"/>
          </w:tcPr>
          <w:p w14:paraId="1CE231E6" w14:textId="3B6E665F" w:rsidR="00483A34" w:rsidRDefault="00984E6B" w:rsidP="00945346">
            <w:pPr>
              <w:pStyle w:val="Normal1"/>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Diaporama sur les mécanismes de nociception et les modulations spinales et supra-spinales de celle-ci. Découverte des phénomènes de plasticité et de potentialisation à long terme.</w:t>
            </w:r>
          </w:p>
        </w:tc>
        <w:tc>
          <w:tcPr>
            <w:tcW w:w="2410" w:type="dxa"/>
          </w:tcPr>
          <w:p w14:paraId="33728E3D" w14:textId="3EFBE5AE" w:rsidR="00483A34" w:rsidRDefault="00984E6B" w:rsidP="00945346">
            <w:pPr>
              <w:pStyle w:val="Normal1"/>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 xml:space="preserve">Connaître l’importance des mécanismes nociceptifs </w:t>
            </w:r>
            <w:r w:rsidR="00A83E0E">
              <w:rPr>
                <w:rFonts w:ascii="Helvetica Neue" w:eastAsia="Helvetica Neue" w:hAnsi="Helvetica Neue" w:cs="Helvetica Neue"/>
                <w:color w:val="000000"/>
                <w:sz w:val="18"/>
                <w:szCs w:val="18"/>
                <w:lang w:val="fr-FR"/>
              </w:rPr>
              <w:t xml:space="preserve">et de sensibilisation </w:t>
            </w:r>
            <w:r>
              <w:rPr>
                <w:rFonts w:ascii="Helvetica Neue" w:eastAsia="Helvetica Neue" w:hAnsi="Helvetica Neue" w:cs="Helvetica Neue"/>
                <w:color w:val="000000"/>
                <w:sz w:val="18"/>
                <w:szCs w:val="18"/>
                <w:lang w:val="fr-FR"/>
              </w:rPr>
              <w:t xml:space="preserve">et </w:t>
            </w:r>
            <w:r w:rsidR="00A83E0E">
              <w:rPr>
                <w:rFonts w:ascii="Helvetica Neue" w:eastAsia="Helvetica Neue" w:hAnsi="Helvetica Neue" w:cs="Helvetica Neue"/>
                <w:color w:val="000000"/>
                <w:sz w:val="18"/>
                <w:szCs w:val="18"/>
                <w:lang w:val="fr-FR"/>
              </w:rPr>
              <w:t xml:space="preserve">faire le lien avec des présentations </w:t>
            </w:r>
            <w:r>
              <w:rPr>
                <w:rFonts w:ascii="Helvetica Neue" w:eastAsia="Helvetica Neue" w:hAnsi="Helvetica Neue" w:cs="Helvetica Neue"/>
                <w:color w:val="000000"/>
                <w:sz w:val="18"/>
                <w:szCs w:val="18"/>
                <w:lang w:val="fr-FR"/>
              </w:rPr>
              <w:t>clinique</w:t>
            </w:r>
            <w:r w:rsidR="00A83E0E">
              <w:rPr>
                <w:rFonts w:ascii="Helvetica Neue" w:eastAsia="Helvetica Neue" w:hAnsi="Helvetica Neue" w:cs="Helvetica Neue"/>
                <w:color w:val="000000"/>
                <w:sz w:val="18"/>
                <w:szCs w:val="18"/>
                <w:lang w:val="fr-FR"/>
              </w:rPr>
              <w:t>s</w:t>
            </w:r>
          </w:p>
        </w:tc>
        <w:tc>
          <w:tcPr>
            <w:tcW w:w="2268" w:type="dxa"/>
          </w:tcPr>
          <w:p w14:paraId="26FF30FC" w14:textId="0B0738EE" w:rsidR="00483A34" w:rsidRPr="00784FBC" w:rsidRDefault="00984E6B" w:rsidP="00945346">
            <w:pPr>
              <w:pStyle w:val="Normal1"/>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Jeu de rôle avec concours</w:t>
            </w:r>
          </w:p>
        </w:tc>
      </w:tr>
      <w:tr w:rsidR="00483A34" w:rsidRPr="00E046FF" w14:paraId="1137AA97" w14:textId="77777777" w:rsidTr="00A83E0E">
        <w:trPr>
          <w:cnfStyle w:val="000000100000" w:firstRow="0" w:lastRow="0" w:firstColumn="0" w:lastColumn="0" w:oddVBand="0" w:evenVBand="0" w:oddHBand="1" w:evenHBand="0" w:firstRowFirstColumn="0" w:firstRowLastColumn="0" w:lastRowFirstColumn="0" w:lastRowLastColumn="0"/>
          <w:trHeight w:val="226"/>
        </w:trPr>
        <w:tc>
          <w:tcPr>
            <w:tcW w:w="1584" w:type="dxa"/>
          </w:tcPr>
          <w:p w14:paraId="50BC8D20" w14:textId="0120611F" w:rsidR="00483A34" w:rsidRPr="00784FBC" w:rsidRDefault="00483A34" w:rsidP="00757760">
            <w:pPr>
              <w:pStyle w:val="Normal1"/>
              <w:ind w:right="-128"/>
              <w:rPr>
                <w:rFonts w:ascii="Helvetica Neue" w:eastAsia="Helvetica Neue" w:hAnsi="Helvetica Neue" w:cs="Helvetica Neue"/>
                <w:sz w:val="18"/>
                <w:szCs w:val="18"/>
                <w:lang w:val="fr-FR"/>
              </w:rPr>
            </w:pPr>
            <w:r>
              <w:rPr>
                <w:rFonts w:ascii="Helvetica Neue" w:eastAsia="Helvetica Neue" w:hAnsi="Helvetica Neue" w:cs="Helvetica Neue"/>
                <w:sz w:val="18"/>
                <w:szCs w:val="18"/>
                <w:lang w:val="fr-FR"/>
              </w:rPr>
              <w:t>10h0</w:t>
            </w:r>
            <w:r w:rsidRPr="00784FBC">
              <w:rPr>
                <w:rFonts w:ascii="Helvetica Neue" w:eastAsia="Helvetica Neue" w:hAnsi="Helvetica Neue" w:cs="Helvetica Neue"/>
                <w:sz w:val="18"/>
                <w:szCs w:val="18"/>
                <w:lang w:val="fr-FR"/>
              </w:rPr>
              <w:t>0 –10h30</w:t>
            </w:r>
            <w:r w:rsidR="00A83E0E">
              <w:rPr>
                <w:rFonts w:ascii="Helvetica Neue" w:eastAsia="Helvetica Neue" w:hAnsi="Helvetica Neue" w:cs="Helvetica Neue"/>
                <w:sz w:val="18"/>
                <w:szCs w:val="18"/>
                <w:lang w:val="fr-FR"/>
              </w:rPr>
              <w:br/>
            </w:r>
            <w:r>
              <w:rPr>
                <w:rFonts w:ascii="Helvetica Neue" w:eastAsia="Helvetica Neue" w:hAnsi="Helvetica Neue" w:cs="Helvetica Neue"/>
                <w:sz w:val="18"/>
                <w:szCs w:val="18"/>
                <w:lang w:val="fr-FR"/>
              </w:rPr>
              <w:t>(30 minutes)</w:t>
            </w:r>
          </w:p>
        </w:tc>
        <w:tc>
          <w:tcPr>
            <w:tcW w:w="1818" w:type="dxa"/>
          </w:tcPr>
          <w:p w14:paraId="6C7EDC37" w14:textId="77777777" w:rsidR="00483A34" w:rsidRPr="00784FBC" w:rsidRDefault="00483A34" w:rsidP="00757760">
            <w:pPr>
              <w:pStyle w:val="Normal1"/>
              <w:rPr>
                <w:rFonts w:ascii="Helvetica Neue" w:eastAsia="Helvetica Neue" w:hAnsi="Helvetica Neue" w:cs="Helvetica Neue"/>
                <w:sz w:val="18"/>
                <w:szCs w:val="18"/>
                <w:lang w:val="fr-FR"/>
              </w:rPr>
            </w:pPr>
            <w:r>
              <w:rPr>
                <w:rFonts w:ascii="Helvetica Neue" w:eastAsia="Helvetica Neue" w:hAnsi="Helvetica Neue" w:cs="Helvetica Neue"/>
                <w:sz w:val="18"/>
                <w:szCs w:val="18"/>
                <w:lang w:val="fr-FR"/>
              </w:rPr>
              <w:t>Les perceptions</w:t>
            </w:r>
          </w:p>
        </w:tc>
        <w:tc>
          <w:tcPr>
            <w:tcW w:w="2977" w:type="dxa"/>
          </w:tcPr>
          <w:p w14:paraId="580E8C7E" w14:textId="128C1F31" w:rsidR="00483A34" w:rsidRDefault="00A83E0E" w:rsidP="00945346">
            <w:pPr>
              <w:pStyle w:val="Normal1"/>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Expériences sur la capacité à moduler les perceptions par différentes techniques</w:t>
            </w:r>
          </w:p>
        </w:tc>
        <w:tc>
          <w:tcPr>
            <w:tcW w:w="2410" w:type="dxa"/>
          </w:tcPr>
          <w:p w14:paraId="312216B3" w14:textId="53338181" w:rsidR="00483A34" w:rsidRDefault="00A83E0E" w:rsidP="00945346">
            <w:pPr>
              <w:pStyle w:val="Normal1"/>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Comprendre l’aspect multi-dimensionnel de la perception douloureuse et esquisser quelques clés pratiques</w:t>
            </w:r>
          </w:p>
        </w:tc>
        <w:tc>
          <w:tcPr>
            <w:tcW w:w="2268" w:type="dxa"/>
          </w:tcPr>
          <w:p w14:paraId="59D310C8" w14:textId="780325B9" w:rsidR="00483A34" w:rsidRPr="00784FBC" w:rsidRDefault="00A83E0E" w:rsidP="00945346">
            <w:pPr>
              <w:pStyle w:val="Normal1"/>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Evaluation lors des cas cliniques le lendemain</w:t>
            </w:r>
          </w:p>
        </w:tc>
      </w:tr>
      <w:tr w:rsidR="00A83E0E" w:rsidRPr="00784FBC" w14:paraId="545BED3B" w14:textId="77777777" w:rsidTr="00A83E0E">
        <w:tc>
          <w:tcPr>
            <w:tcW w:w="1584" w:type="dxa"/>
            <w:shd w:val="clear" w:color="auto" w:fill="BFBFBF" w:themeFill="background1" w:themeFillShade="BF"/>
          </w:tcPr>
          <w:p w14:paraId="1F9825D8" w14:textId="18BE3C9E" w:rsidR="00A83E0E" w:rsidRPr="00784FBC" w:rsidRDefault="00A83E0E" w:rsidP="00757760">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sidRPr="00784FBC">
              <w:rPr>
                <w:rFonts w:ascii="Helvetica Neue" w:eastAsia="Helvetica Neue" w:hAnsi="Helvetica Neue" w:cs="Helvetica Neue"/>
                <w:color w:val="000000"/>
                <w:sz w:val="18"/>
                <w:szCs w:val="18"/>
                <w:lang w:val="fr-FR"/>
              </w:rPr>
              <w:t>10h30 – 10h45</w:t>
            </w:r>
            <w:r>
              <w:rPr>
                <w:rFonts w:ascii="Helvetica Neue" w:eastAsia="Helvetica Neue" w:hAnsi="Helvetica Neue" w:cs="Helvetica Neue"/>
                <w:color w:val="000000"/>
                <w:sz w:val="18"/>
                <w:szCs w:val="18"/>
                <w:lang w:val="fr-FR"/>
              </w:rPr>
              <w:br/>
              <w:t>(15 minutes)</w:t>
            </w:r>
          </w:p>
        </w:tc>
        <w:tc>
          <w:tcPr>
            <w:tcW w:w="9473" w:type="dxa"/>
            <w:gridSpan w:val="4"/>
            <w:shd w:val="clear" w:color="auto" w:fill="BFBFBF" w:themeFill="background1" w:themeFillShade="BF"/>
          </w:tcPr>
          <w:p w14:paraId="6A1575FA" w14:textId="38DB0758" w:rsidR="00A83E0E" w:rsidRPr="00784FBC" w:rsidRDefault="00A83E0E" w:rsidP="00A83E0E">
            <w:pPr>
              <w:pStyle w:val="Normal1"/>
              <w:ind w:firstLine="280"/>
              <w:jc w:val="center"/>
              <w:rPr>
                <w:rFonts w:ascii="Helvetica Neue" w:eastAsia="Helvetica Neue" w:hAnsi="Helvetica Neue" w:cs="Helvetica Neue"/>
                <w:color w:val="000000"/>
                <w:sz w:val="18"/>
                <w:szCs w:val="18"/>
                <w:lang w:val="fr-FR"/>
              </w:rPr>
            </w:pPr>
            <w:r w:rsidRPr="00784FBC">
              <w:rPr>
                <w:rFonts w:ascii="Helvetica Neue" w:eastAsia="Helvetica Neue" w:hAnsi="Helvetica Neue" w:cs="Helvetica Neue"/>
                <w:color w:val="000000"/>
                <w:sz w:val="18"/>
                <w:szCs w:val="18"/>
                <w:lang w:val="fr-FR"/>
              </w:rPr>
              <w:t>Paus</w:t>
            </w:r>
            <w:r w:rsidRPr="00784FBC">
              <w:rPr>
                <w:rFonts w:ascii="Helvetica Neue" w:eastAsia="Helvetica Neue" w:hAnsi="Helvetica Neue" w:cs="Helvetica Neue"/>
                <w:sz w:val="18"/>
                <w:szCs w:val="18"/>
                <w:lang w:val="fr-FR"/>
              </w:rPr>
              <w:t>e</w:t>
            </w:r>
          </w:p>
        </w:tc>
      </w:tr>
      <w:tr w:rsidR="00483A34" w:rsidRPr="00784FBC" w14:paraId="597B1076" w14:textId="77777777" w:rsidTr="00A83E0E">
        <w:trPr>
          <w:cnfStyle w:val="000000100000" w:firstRow="0" w:lastRow="0" w:firstColumn="0" w:lastColumn="0" w:oddVBand="0" w:evenVBand="0" w:oddHBand="1" w:evenHBand="0" w:firstRowFirstColumn="0" w:firstRowLastColumn="0" w:lastRowFirstColumn="0" w:lastRowLastColumn="0"/>
        </w:trPr>
        <w:tc>
          <w:tcPr>
            <w:tcW w:w="1584" w:type="dxa"/>
          </w:tcPr>
          <w:p w14:paraId="65A8E279" w14:textId="5FEF009B" w:rsidR="00483A34" w:rsidRPr="00784FBC" w:rsidRDefault="00483A34" w:rsidP="00757760">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10h45 – 11h15</w:t>
            </w:r>
            <w:r w:rsidR="00A83E0E">
              <w:rPr>
                <w:rFonts w:ascii="Helvetica Neue" w:eastAsia="Helvetica Neue" w:hAnsi="Helvetica Neue" w:cs="Helvetica Neue"/>
                <w:color w:val="000000"/>
                <w:sz w:val="18"/>
                <w:szCs w:val="18"/>
                <w:lang w:val="fr-FR"/>
              </w:rPr>
              <w:br/>
            </w:r>
            <w:r>
              <w:rPr>
                <w:rFonts w:ascii="Helvetica Neue" w:eastAsia="Helvetica Neue" w:hAnsi="Helvetica Neue" w:cs="Helvetica Neue"/>
                <w:color w:val="000000"/>
                <w:sz w:val="18"/>
                <w:szCs w:val="18"/>
                <w:lang w:val="fr-FR"/>
              </w:rPr>
              <w:t>(30 minutes)</w:t>
            </w:r>
          </w:p>
        </w:tc>
        <w:tc>
          <w:tcPr>
            <w:tcW w:w="1818" w:type="dxa"/>
          </w:tcPr>
          <w:p w14:paraId="1B052755" w14:textId="77777777" w:rsidR="00483A34" w:rsidRPr="00784FBC" w:rsidRDefault="00483A34" w:rsidP="00046357">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Codage prédictif</w:t>
            </w:r>
          </w:p>
        </w:tc>
        <w:tc>
          <w:tcPr>
            <w:tcW w:w="2977" w:type="dxa"/>
          </w:tcPr>
          <w:p w14:paraId="47718D4F" w14:textId="75AB7C1D" w:rsidR="00483A34" w:rsidRDefault="00D1357A" w:rsidP="00945346">
            <w:pPr>
              <w:pStyle w:val="Normal1"/>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Diaporama sur l</w:t>
            </w:r>
            <w:r w:rsidR="009E76AC">
              <w:rPr>
                <w:rFonts w:ascii="Helvetica Neue" w:eastAsia="Helvetica Neue" w:hAnsi="Helvetica Neue" w:cs="Helvetica Neue"/>
                <w:color w:val="000000"/>
                <w:sz w:val="18"/>
                <w:szCs w:val="18"/>
                <w:lang w:val="fr-FR"/>
              </w:rPr>
              <w:t>a théorie la plus consensuelle actuellement et prédisant le mieux les résultats des recherches expérimentales</w:t>
            </w:r>
          </w:p>
        </w:tc>
        <w:tc>
          <w:tcPr>
            <w:tcW w:w="2410" w:type="dxa"/>
          </w:tcPr>
          <w:p w14:paraId="5052019B" w14:textId="0D1CBB27" w:rsidR="00483A34" w:rsidRDefault="00B20EE3" w:rsidP="00945346">
            <w:pPr>
              <w:pStyle w:val="Normal1"/>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Comprendre le conditionnement et le protectomètre</w:t>
            </w:r>
          </w:p>
        </w:tc>
        <w:tc>
          <w:tcPr>
            <w:tcW w:w="2268" w:type="dxa"/>
          </w:tcPr>
          <w:p w14:paraId="2FC2A685" w14:textId="7C98F0DC" w:rsidR="00483A34" w:rsidRPr="00784FBC" w:rsidRDefault="00B20EE3" w:rsidP="00945346">
            <w:pPr>
              <w:pStyle w:val="Normal1"/>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Question réflexive</w:t>
            </w:r>
          </w:p>
        </w:tc>
      </w:tr>
      <w:tr w:rsidR="00483A34" w:rsidRPr="00784FBC" w14:paraId="54FB8D4F" w14:textId="77777777" w:rsidTr="009B19A1">
        <w:trPr>
          <w:trHeight w:val="70"/>
        </w:trPr>
        <w:tc>
          <w:tcPr>
            <w:tcW w:w="1584" w:type="dxa"/>
          </w:tcPr>
          <w:p w14:paraId="61335808" w14:textId="0C2028C6" w:rsidR="00483A34" w:rsidRPr="00784FBC" w:rsidRDefault="00483A34" w:rsidP="00757760">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lastRenderedPageBreak/>
              <w:t>11h15 – 12h15</w:t>
            </w:r>
            <w:r w:rsidR="00A83E0E">
              <w:rPr>
                <w:rFonts w:ascii="Helvetica Neue" w:eastAsia="Helvetica Neue" w:hAnsi="Helvetica Neue" w:cs="Helvetica Neue"/>
                <w:color w:val="000000"/>
                <w:sz w:val="18"/>
                <w:szCs w:val="18"/>
                <w:lang w:val="fr-FR"/>
              </w:rPr>
              <w:br/>
            </w:r>
            <w:r>
              <w:rPr>
                <w:rFonts w:ascii="Helvetica Neue" w:eastAsia="Helvetica Neue" w:hAnsi="Helvetica Neue" w:cs="Helvetica Neue"/>
                <w:color w:val="000000"/>
                <w:sz w:val="18"/>
                <w:szCs w:val="18"/>
                <w:lang w:val="fr-FR"/>
              </w:rPr>
              <w:t>(1 heure)</w:t>
            </w:r>
          </w:p>
        </w:tc>
        <w:tc>
          <w:tcPr>
            <w:tcW w:w="1818" w:type="dxa"/>
          </w:tcPr>
          <w:p w14:paraId="09C50A98" w14:textId="77777777" w:rsidR="00483A34" w:rsidRDefault="00483A34" w:rsidP="00046357">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Communication</w:t>
            </w:r>
          </w:p>
        </w:tc>
        <w:tc>
          <w:tcPr>
            <w:tcW w:w="2977" w:type="dxa"/>
          </w:tcPr>
          <w:p w14:paraId="3C1D1A81" w14:textId="1BF9F38F" w:rsidR="00483A34" w:rsidRDefault="00B20EE3" w:rsidP="00945346">
            <w:pPr>
              <w:pStyle w:val="Normal1"/>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Pratique d’entretien et d’explication d’imagerie</w:t>
            </w:r>
          </w:p>
        </w:tc>
        <w:tc>
          <w:tcPr>
            <w:tcW w:w="2410" w:type="dxa"/>
          </w:tcPr>
          <w:p w14:paraId="7ECF1FAE" w14:textId="1627B81B" w:rsidR="00483A34" w:rsidRDefault="00B20EE3" w:rsidP="00945346">
            <w:pPr>
              <w:pStyle w:val="Normal1"/>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Intégration des données sur le codage prédictif en pratique</w:t>
            </w:r>
          </w:p>
        </w:tc>
        <w:tc>
          <w:tcPr>
            <w:tcW w:w="2268" w:type="dxa"/>
          </w:tcPr>
          <w:p w14:paraId="67341AF8" w14:textId="31D9C23B" w:rsidR="00483A34" w:rsidRDefault="00B20EE3" w:rsidP="00945346">
            <w:pPr>
              <w:pStyle w:val="Normal1"/>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Co-évaluation en trinôme</w:t>
            </w:r>
          </w:p>
        </w:tc>
      </w:tr>
      <w:tr w:rsidR="00A83E0E" w:rsidRPr="00784FBC" w14:paraId="5F793AF2" w14:textId="77777777" w:rsidTr="00A83E0E">
        <w:trPr>
          <w:cnfStyle w:val="000000100000" w:firstRow="0" w:lastRow="0" w:firstColumn="0" w:lastColumn="0" w:oddVBand="0" w:evenVBand="0" w:oddHBand="1" w:evenHBand="0" w:firstRowFirstColumn="0" w:firstRowLastColumn="0" w:lastRowFirstColumn="0" w:lastRowLastColumn="0"/>
        </w:trPr>
        <w:tc>
          <w:tcPr>
            <w:tcW w:w="1584" w:type="dxa"/>
            <w:shd w:val="clear" w:color="auto" w:fill="BFBFBF" w:themeFill="background1" w:themeFillShade="BF"/>
          </w:tcPr>
          <w:p w14:paraId="5168FB25" w14:textId="1FA6B391" w:rsidR="00A83E0E" w:rsidRPr="00784FBC" w:rsidRDefault="00A83E0E" w:rsidP="00757760">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sidRPr="00784FBC">
              <w:rPr>
                <w:rFonts w:ascii="Helvetica Neue" w:eastAsia="Helvetica Neue" w:hAnsi="Helvetica Neue" w:cs="Helvetica Neue"/>
                <w:color w:val="000000"/>
                <w:sz w:val="18"/>
                <w:szCs w:val="18"/>
                <w:lang w:val="fr-FR"/>
              </w:rPr>
              <w:t>12h15 – 13h30</w:t>
            </w:r>
            <w:r>
              <w:rPr>
                <w:rFonts w:ascii="Helvetica Neue" w:eastAsia="Helvetica Neue" w:hAnsi="Helvetica Neue" w:cs="Helvetica Neue"/>
                <w:color w:val="000000"/>
                <w:sz w:val="18"/>
                <w:szCs w:val="18"/>
                <w:lang w:val="fr-FR"/>
              </w:rPr>
              <w:br/>
              <w:t>(45 minutes)</w:t>
            </w:r>
          </w:p>
        </w:tc>
        <w:tc>
          <w:tcPr>
            <w:tcW w:w="9473" w:type="dxa"/>
            <w:gridSpan w:val="4"/>
            <w:shd w:val="clear" w:color="auto" w:fill="BFBFBF" w:themeFill="background1" w:themeFillShade="BF"/>
          </w:tcPr>
          <w:p w14:paraId="60380088" w14:textId="31FB8297" w:rsidR="00A83E0E" w:rsidRPr="00784FBC" w:rsidRDefault="00A83E0E" w:rsidP="00A83E0E">
            <w:pPr>
              <w:pStyle w:val="Normal1"/>
              <w:pBdr>
                <w:top w:val="nil"/>
                <w:left w:val="nil"/>
                <w:bottom w:val="nil"/>
                <w:right w:val="nil"/>
                <w:between w:val="nil"/>
              </w:pBdr>
              <w:ind w:firstLine="280"/>
              <w:jc w:val="center"/>
              <w:rPr>
                <w:rFonts w:ascii="Helvetica Neue" w:eastAsia="Helvetica Neue" w:hAnsi="Helvetica Neue" w:cs="Helvetica Neue"/>
                <w:color w:val="000000"/>
                <w:sz w:val="18"/>
                <w:szCs w:val="18"/>
                <w:lang w:val="fr-FR"/>
              </w:rPr>
            </w:pPr>
            <w:r w:rsidRPr="00784FBC">
              <w:rPr>
                <w:rFonts w:ascii="Helvetica Neue" w:eastAsia="Helvetica Neue" w:hAnsi="Helvetica Neue" w:cs="Helvetica Neue"/>
                <w:color w:val="000000"/>
                <w:sz w:val="18"/>
                <w:szCs w:val="18"/>
                <w:lang w:val="fr-FR"/>
              </w:rPr>
              <w:t>Pause déjeuner</w:t>
            </w:r>
          </w:p>
        </w:tc>
      </w:tr>
      <w:tr w:rsidR="00483A34" w:rsidRPr="00E046FF" w14:paraId="2E00A8A9" w14:textId="77777777" w:rsidTr="00A83E0E">
        <w:tc>
          <w:tcPr>
            <w:tcW w:w="1584" w:type="dxa"/>
          </w:tcPr>
          <w:p w14:paraId="48D73213" w14:textId="285E072B" w:rsidR="00483A34" w:rsidRPr="00784FBC" w:rsidRDefault="00483A34" w:rsidP="00757760">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sidRPr="00784FBC">
              <w:rPr>
                <w:rFonts w:ascii="Helvetica Neue" w:eastAsia="Helvetica Neue" w:hAnsi="Helvetica Neue" w:cs="Helvetica Neue"/>
                <w:color w:val="000000"/>
                <w:sz w:val="18"/>
                <w:szCs w:val="18"/>
                <w:lang w:val="fr-FR"/>
              </w:rPr>
              <w:t xml:space="preserve">13h30 – </w:t>
            </w:r>
            <w:r>
              <w:rPr>
                <w:rFonts w:ascii="Helvetica Neue" w:eastAsia="Helvetica Neue" w:hAnsi="Helvetica Neue" w:cs="Helvetica Neue"/>
                <w:color w:val="000000"/>
                <w:sz w:val="18"/>
                <w:szCs w:val="18"/>
                <w:lang w:val="fr-FR"/>
              </w:rPr>
              <w:t>14h00</w:t>
            </w:r>
            <w:r w:rsidR="00A83E0E">
              <w:rPr>
                <w:rFonts w:ascii="Helvetica Neue" w:eastAsia="Helvetica Neue" w:hAnsi="Helvetica Neue" w:cs="Helvetica Neue"/>
                <w:color w:val="000000"/>
                <w:sz w:val="18"/>
                <w:szCs w:val="18"/>
                <w:lang w:val="fr-FR"/>
              </w:rPr>
              <w:br/>
            </w:r>
            <w:r>
              <w:rPr>
                <w:rFonts w:ascii="Helvetica Neue" w:eastAsia="Helvetica Neue" w:hAnsi="Helvetica Neue" w:cs="Helvetica Neue"/>
                <w:color w:val="000000"/>
                <w:sz w:val="18"/>
                <w:szCs w:val="18"/>
                <w:lang w:val="fr-FR"/>
              </w:rPr>
              <w:t>(30 minutes)</w:t>
            </w:r>
          </w:p>
        </w:tc>
        <w:tc>
          <w:tcPr>
            <w:tcW w:w="1818" w:type="dxa"/>
          </w:tcPr>
          <w:p w14:paraId="02A8ECC8" w14:textId="77777777" w:rsidR="00483A34" w:rsidRPr="00784FBC" w:rsidRDefault="00483A34" w:rsidP="00046357">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Floutage cortical</w:t>
            </w:r>
          </w:p>
        </w:tc>
        <w:tc>
          <w:tcPr>
            <w:tcW w:w="2977" w:type="dxa"/>
          </w:tcPr>
          <w:p w14:paraId="4354C517" w14:textId="39590552" w:rsidR="00483A34" w:rsidRDefault="00B20EE3" w:rsidP="00945346">
            <w:pPr>
              <w:pStyle w:val="Normal1"/>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 xml:space="preserve">Diaporama sur les altérations du schéma corporel </w:t>
            </w:r>
          </w:p>
        </w:tc>
        <w:tc>
          <w:tcPr>
            <w:tcW w:w="2410" w:type="dxa"/>
          </w:tcPr>
          <w:p w14:paraId="18AA21CD" w14:textId="53BA5AFB" w:rsidR="00483A34" w:rsidRDefault="00D43D73" w:rsidP="00945346">
            <w:pPr>
              <w:pStyle w:val="Normal1"/>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Reconnaître le floutage cortical en pratique clinique et comprendre son rôle dans l’incapacité du patient</w:t>
            </w:r>
          </w:p>
        </w:tc>
        <w:tc>
          <w:tcPr>
            <w:tcW w:w="2268" w:type="dxa"/>
          </w:tcPr>
          <w:p w14:paraId="25905B05" w14:textId="7247B6DD" w:rsidR="00483A34" w:rsidRPr="00784FBC" w:rsidRDefault="00D43D73" w:rsidP="00945346">
            <w:pPr>
              <w:pStyle w:val="Normal1"/>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Evaluation lors des cas cliniques du second jour</w:t>
            </w:r>
          </w:p>
        </w:tc>
      </w:tr>
      <w:tr w:rsidR="00483A34" w:rsidRPr="00784FBC" w14:paraId="103DC61B" w14:textId="77777777" w:rsidTr="00A83E0E">
        <w:trPr>
          <w:cnfStyle w:val="000000100000" w:firstRow="0" w:lastRow="0" w:firstColumn="0" w:lastColumn="0" w:oddVBand="0" w:evenVBand="0" w:oddHBand="1" w:evenHBand="0" w:firstRowFirstColumn="0" w:firstRowLastColumn="0" w:lastRowFirstColumn="0" w:lastRowLastColumn="0"/>
        </w:trPr>
        <w:tc>
          <w:tcPr>
            <w:tcW w:w="1584" w:type="dxa"/>
          </w:tcPr>
          <w:p w14:paraId="6A531DB4" w14:textId="2D2C08AD" w:rsidR="00483A34" w:rsidRPr="00784FBC" w:rsidRDefault="00483A34" w:rsidP="00757760">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14h00 – 15h15</w:t>
            </w:r>
            <w:r w:rsidR="00A83E0E">
              <w:rPr>
                <w:rFonts w:ascii="Helvetica Neue" w:eastAsia="Helvetica Neue" w:hAnsi="Helvetica Neue" w:cs="Helvetica Neue"/>
                <w:color w:val="000000"/>
                <w:sz w:val="18"/>
                <w:szCs w:val="18"/>
                <w:lang w:val="fr-FR"/>
              </w:rPr>
              <w:br/>
            </w:r>
            <w:r>
              <w:rPr>
                <w:rFonts w:ascii="Helvetica Neue" w:eastAsia="Helvetica Neue" w:hAnsi="Helvetica Neue" w:cs="Helvetica Neue"/>
                <w:color w:val="000000"/>
                <w:sz w:val="18"/>
                <w:szCs w:val="18"/>
                <w:lang w:val="fr-FR"/>
              </w:rPr>
              <w:t>(1 heure 15 min)</w:t>
            </w:r>
          </w:p>
        </w:tc>
        <w:tc>
          <w:tcPr>
            <w:tcW w:w="1818" w:type="dxa"/>
          </w:tcPr>
          <w:p w14:paraId="11A77915" w14:textId="24EA7980" w:rsidR="00483A34" w:rsidRDefault="00483A34" w:rsidP="00046357">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Imagerie motrice progressive et autres techniques de neuro-imagerie</w:t>
            </w:r>
          </w:p>
        </w:tc>
        <w:tc>
          <w:tcPr>
            <w:tcW w:w="2977" w:type="dxa"/>
          </w:tcPr>
          <w:p w14:paraId="187BEF71" w14:textId="1C270E43" w:rsidR="00483A34" w:rsidRDefault="00D43D73" w:rsidP="00945346">
            <w:pPr>
              <w:pStyle w:val="Normal1"/>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Pratique de neuro-imagerie et apprentissage des protocoles</w:t>
            </w:r>
          </w:p>
        </w:tc>
        <w:tc>
          <w:tcPr>
            <w:tcW w:w="2410" w:type="dxa"/>
          </w:tcPr>
          <w:p w14:paraId="0FEA0B4D" w14:textId="15C84F47" w:rsidR="00483A34" w:rsidRDefault="00D43D73" w:rsidP="00945346">
            <w:pPr>
              <w:pStyle w:val="Normal1"/>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Savoir appliquer imagerie motrice implicite, explicite et thérapie miroir de manière optimale</w:t>
            </w:r>
          </w:p>
        </w:tc>
        <w:tc>
          <w:tcPr>
            <w:tcW w:w="2268" w:type="dxa"/>
          </w:tcPr>
          <w:p w14:paraId="60DCC350" w14:textId="0F762C27" w:rsidR="00483A34" w:rsidRDefault="00D43D73" w:rsidP="00945346">
            <w:pPr>
              <w:pStyle w:val="Normal1"/>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Co-évaluation</w:t>
            </w:r>
          </w:p>
        </w:tc>
      </w:tr>
      <w:tr w:rsidR="00A83E0E" w:rsidRPr="00784FBC" w14:paraId="68F6F579" w14:textId="77777777" w:rsidTr="00A83E0E">
        <w:tc>
          <w:tcPr>
            <w:tcW w:w="1584" w:type="dxa"/>
            <w:shd w:val="clear" w:color="auto" w:fill="BFBFBF" w:themeFill="background1" w:themeFillShade="BF"/>
          </w:tcPr>
          <w:p w14:paraId="4179C042" w14:textId="77777777" w:rsidR="00A83E0E" w:rsidRDefault="00A83E0E" w:rsidP="00757760">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sidRPr="00784FBC">
              <w:rPr>
                <w:rFonts w:ascii="Helvetica Neue" w:eastAsia="Helvetica Neue" w:hAnsi="Helvetica Neue" w:cs="Helvetica Neue"/>
                <w:color w:val="000000"/>
                <w:sz w:val="18"/>
                <w:szCs w:val="18"/>
                <w:lang w:val="fr-FR"/>
              </w:rPr>
              <w:t>15h15 – 15h30</w:t>
            </w:r>
          </w:p>
          <w:p w14:paraId="2CE5BED2" w14:textId="4B77796A" w:rsidR="00A83E0E" w:rsidRPr="00784FBC" w:rsidRDefault="00A83E0E" w:rsidP="00757760">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(15 minutes)</w:t>
            </w:r>
          </w:p>
        </w:tc>
        <w:tc>
          <w:tcPr>
            <w:tcW w:w="9473" w:type="dxa"/>
            <w:gridSpan w:val="4"/>
            <w:shd w:val="clear" w:color="auto" w:fill="BFBFBF" w:themeFill="background1" w:themeFillShade="BF"/>
          </w:tcPr>
          <w:p w14:paraId="29EC4A9B" w14:textId="79951D5B" w:rsidR="00A83E0E" w:rsidRPr="00784FBC" w:rsidRDefault="00A83E0E" w:rsidP="00A83E0E">
            <w:pPr>
              <w:pStyle w:val="Normal1"/>
              <w:ind w:firstLine="280"/>
              <w:jc w:val="center"/>
              <w:rPr>
                <w:rFonts w:ascii="Helvetica Neue" w:eastAsia="Helvetica Neue" w:hAnsi="Helvetica Neue" w:cs="Helvetica Neue"/>
                <w:color w:val="000000"/>
                <w:sz w:val="18"/>
                <w:szCs w:val="18"/>
                <w:lang w:val="fr-FR"/>
              </w:rPr>
            </w:pPr>
            <w:r w:rsidRPr="00784FBC">
              <w:rPr>
                <w:rFonts w:ascii="Helvetica Neue" w:eastAsia="Helvetica Neue" w:hAnsi="Helvetica Neue" w:cs="Helvetica Neue"/>
                <w:color w:val="000000"/>
                <w:sz w:val="18"/>
                <w:szCs w:val="18"/>
                <w:lang w:val="fr-FR"/>
              </w:rPr>
              <w:t>Pause</w:t>
            </w:r>
          </w:p>
        </w:tc>
      </w:tr>
      <w:tr w:rsidR="00483A34" w:rsidRPr="00E046FF" w14:paraId="5B14FB66" w14:textId="77777777" w:rsidTr="00A83E0E">
        <w:trPr>
          <w:cnfStyle w:val="000000100000" w:firstRow="0" w:lastRow="0" w:firstColumn="0" w:lastColumn="0" w:oddVBand="0" w:evenVBand="0" w:oddHBand="1" w:evenHBand="0" w:firstRowFirstColumn="0" w:firstRowLastColumn="0" w:lastRowFirstColumn="0" w:lastRowLastColumn="0"/>
        </w:trPr>
        <w:tc>
          <w:tcPr>
            <w:tcW w:w="1584" w:type="dxa"/>
          </w:tcPr>
          <w:p w14:paraId="653402A3" w14:textId="51BEA2B9" w:rsidR="00483A34" w:rsidRPr="00784FBC" w:rsidRDefault="00483A34" w:rsidP="00757760">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sidRPr="00784FBC">
              <w:rPr>
                <w:rFonts w:ascii="Helvetica Neue" w:eastAsia="Helvetica Neue" w:hAnsi="Helvetica Neue" w:cs="Helvetica Neue"/>
                <w:color w:val="000000"/>
                <w:sz w:val="18"/>
                <w:szCs w:val="18"/>
                <w:lang w:val="fr-FR"/>
              </w:rPr>
              <w:t>15h30 – 17h30</w:t>
            </w:r>
            <w:r w:rsidR="00A83E0E">
              <w:rPr>
                <w:rFonts w:ascii="Helvetica Neue" w:eastAsia="Helvetica Neue" w:hAnsi="Helvetica Neue" w:cs="Helvetica Neue"/>
                <w:color w:val="000000"/>
                <w:sz w:val="18"/>
                <w:szCs w:val="18"/>
                <w:lang w:val="fr-FR"/>
              </w:rPr>
              <w:br/>
            </w:r>
            <w:r>
              <w:rPr>
                <w:rFonts w:ascii="Helvetica Neue" w:eastAsia="Helvetica Neue" w:hAnsi="Helvetica Neue" w:cs="Helvetica Neue"/>
                <w:color w:val="000000"/>
                <w:sz w:val="18"/>
                <w:szCs w:val="18"/>
                <w:lang w:val="fr-FR"/>
              </w:rPr>
              <w:t>(2 heures)</w:t>
            </w:r>
          </w:p>
        </w:tc>
        <w:tc>
          <w:tcPr>
            <w:tcW w:w="1818" w:type="dxa"/>
          </w:tcPr>
          <w:p w14:paraId="175625B2" w14:textId="77777777" w:rsidR="00483A34" w:rsidRPr="00784FBC" w:rsidRDefault="00483A34" w:rsidP="00046357">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 xml:space="preserve">Hypoalgésie induite par l’exercice et autres effets </w:t>
            </w:r>
          </w:p>
        </w:tc>
        <w:tc>
          <w:tcPr>
            <w:tcW w:w="2977" w:type="dxa"/>
          </w:tcPr>
          <w:p w14:paraId="1F697DC4" w14:textId="368456E4" w:rsidR="00483A34" w:rsidRDefault="00D43D73" w:rsidP="00945346">
            <w:pPr>
              <w:pStyle w:val="Normal1"/>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Expérience sur les stratégies de modulation de la douleur à court terme</w:t>
            </w:r>
          </w:p>
        </w:tc>
        <w:tc>
          <w:tcPr>
            <w:tcW w:w="2410" w:type="dxa"/>
          </w:tcPr>
          <w:p w14:paraId="54B27E9A" w14:textId="1CA2F2FD" w:rsidR="00483A34" w:rsidRDefault="00D43D73" w:rsidP="00945346">
            <w:pPr>
              <w:pStyle w:val="Normal1"/>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Savoir moduler les douleurs à court terme et dans quels cas de figure se servir de la modulation</w:t>
            </w:r>
          </w:p>
        </w:tc>
        <w:tc>
          <w:tcPr>
            <w:tcW w:w="2268" w:type="dxa"/>
          </w:tcPr>
          <w:p w14:paraId="5EF0E884" w14:textId="4F45384D" w:rsidR="00483A34" w:rsidRPr="00784FBC" w:rsidRDefault="00D43D73" w:rsidP="00945346">
            <w:pPr>
              <w:pStyle w:val="Normal1"/>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Evaluation des effets à l’algomètre de pression</w:t>
            </w:r>
          </w:p>
        </w:tc>
      </w:tr>
      <w:tr w:rsidR="00483A34" w:rsidRPr="00784FBC" w14:paraId="22FD8E25" w14:textId="77777777" w:rsidTr="00A83E0E">
        <w:tc>
          <w:tcPr>
            <w:tcW w:w="1584" w:type="dxa"/>
          </w:tcPr>
          <w:p w14:paraId="13D3A9CD" w14:textId="77777777" w:rsidR="00A83E0E" w:rsidRDefault="00483A34" w:rsidP="00757760">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sidRPr="00784FBC">
              <w:rPr>
                <w:rFonts w:ascii="Helvetica Neue" w:eastAsia="Helvetica Neue" w:hAnsi="Helvetica Neue" w:cs="Helvetica Neue"/>
                <w:color w:val="000000"/>
                <w:sz w:val="18"/>
                <w:szCs w:val="18"/>
                <w:lang w:val="fr-FR"/>
              </w:rPr>
              <w:t>17h30 – 17h45</w:t>
            </w:r>
            <w:r>
              <w:rPr>
                <w:rFonts w:ascii="Helvetica Neue" w:eastAsia="Helvetica Neue" w:hAnsi="Helvetica Neue" w:cs="Helvetica Neue"/>
                <w:color w:val="000000"/>
                <w:sz w:val="18"/>
                <w:szCs w:val="18"/>
                <w:lang w:val="fr-FR"/>
              </w:rPr>
              <w:t xml:space="preserve"> </w:t>
            </w:r>
          </w:p>
          <w:p w14:paraId="4EFD6407" w14:textId="5A2690EB" w:rsidR="00483A34" w:rsidRPr="00784FBC" w:rsidRDefault="00483A34" w:rsidP="00757760">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(15 minutes)</w:t>
            </w:r>
          </w:p>
        </w:tc>
        <w:tc>
          <w:tcPr>
            <w:tcW w:w="1818" w:type="dxa"/>
          </w:tcPr>
          <w:p w14:paraId="69F33090" w14:textId="77777777" w:rsidR="00483A34" w:rsidRPr="00784FBC" w:rsidRDefault="00483A34" w:rsidP="00757760">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Résumé de la journée</w:t>
            </w:r>
          </w:p>
        </w:tc>
        <w:tc>
          <w:tcPr>
            <w:tcW w:w="2977" w:type="dxa"/>
          </w:tcPr>
          <w:p w14:paraId="0EB20DF7" w14:textId="2F550CF1" w:rsidR="00483A34" w:rsidRDefault="00D43D73" w:rsidP="00945346">
            <w:pPr>
              <w:pStyle w:val="Normal1"/>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Retours sur la journée</w:t>
            </w:r>
          </w:p>
        </w:tc>
        <w:tc>
          <w:tcPr>
            <w:tcW w:w="2410" w:type="dxa"/>
          </w:tcPr>
          <w:p w14:paraId="1E42AE4F" w14:textId="4C3A4B7E" w:rsidR="00483A34" w:rsidRDefault="00D43D73" w:rsidP="00945346">
            <w:pPr>
              <w:pStyle w:val="Normal1"/>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Favoriser la rétention d’information, répondre aux interrogations</w:t>
            </w:r>
          </w:p>
        </w:tc>
        <w:tc>
          <w:tcPr>
            <w:tcW w:w="2268" w:type="dxa"/>
          </w:tcPr>
          <w:p w14:paraId="319B0437" w14:textId="03A231C3" w:rsidR="00483A34" w:rsidRPr="00784FBC" w:rsidRDefault="00D43D73" w:rsidP="00945346">
            <w:pPr>
              <w:pStyle w:val="Normal1"/>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Non évaluée</w:t>
            </w:r>
          </w:p>
        </w:tc>
      </w:tr>
      <w:tr w:rsidR="00A83E0E" w:rsidRPr="00E046FF" w14:paraId="154F0796" w14:textId="77777777" w:rsidTr="00A51ECC">
        <w:trPr>
          <w:cnfStyle w:val="000000100000" w:firstRow="0" w:lastRow="0" w:firstColumn="0" w:lastColumn="0" w:oddVBand="0" w:evenVBand="0" w:oddHBand="1" w:evenHBand="0" w:firstRowFirstColumn="0" w:firstRowLastColumn="0" w:lastRowFirstColumn="0" w:lastRowLastColumn="0"/>
        </w:trPr>
        <w:tc>
          <w:tcPr>
            <w:tcW w:w="1584" w:type="dxa"/>
            <w:tcBorders>
              <w:bottom w:val="nil"/>
            </w:tcBorders>
            <w:shd w:val="clear" w:color="auto" w:fill="BFBFBF" w:themeFill="background1" w:themeFillShade="BF"/>
          </w:tcPr>
          <w:p w14:paraId="7442E4F3" w14:textId="77777777" w:rsidR="00A83E0E" w:rsidRPr="00784FBC" w:rsidRDefault="00A83E0E" w:rsidP="00757760">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sidRPr="00784FBC">
              <w:rPr>
                <w:rFonts w:ascii="Helvetica Neue" w:eastAsia="Helvetica Neue" w:hAnsi="Helvetica Neue" w:cs="Helvetica Neue"/>
                <w:sz w:val="18"/>
                <w:szCs w:val="18"/>
                <w:lang w:val="fr-FR"/>
              </w:rPr>
              <w:t xml:space="preserve">    </w:t>
            </w:r>
          </w:p>
        </w:tc>
        <w:tc>
          <w:tcPr>
            <w:tcW w:w="9473" w:type="dxa"/>
            <w:gridSpan w:val="4"/>
            <w:tcBorders>
              <w:bottom w:val="nil"/>
            </w:tcBorders>
            <w:shd w:val="clear" w:color="auto" w:fill="BFBFBF" w:themeFill="background1" w:themeFillShade="BF"/>
          </w:tcPr>
          <w:p w14:paraId="16B0BCFE" w14:textId="160F362B" w:rsidR="00A83E0E" w:rsidRPr="00784FBC" w:rsidRDefault="00A83E0E" w:rsidP="00A83E0E">
            <w:pPr>
              <w:pStyle w:val="Normal1"/>
              <w:pBdr>
                <w:top w:val="nil"/>
                <w:left w:val="nil"/>
                <w:bottom w:val="nil"/>
                <w:right w:val="nil"/>
                <w:between w:val="nil"/>
              </w:pBdr>
              <w:ind w:firstLine="280"/>
              <w:jc w:val="center"/>
              <w:rPr>
                <w:rFonts w:ascii="Helvetica Neue" w:eastAsia="Helvetica Neue" w:hAnsi="Helvetica Neue" w:cs="Helvetica Neue"/>
                <w:color w:val="000000"/>
                <w:sz w:val="18"/>
                <w:szCs w:val="18"/>
                <w:lang w:val="fr-FR"/>
              </w:rPr>
            </w:pPr>
            <w:r w:rsidRPr="00784FBC">
              <w:rPr>
                <w:rFonts w:ascii="Helvetica Neue" w:eastAsia="Helvetica Neue" w:hAnsi="Helvetica Neue" w:cs="Helvetica Neue"/>
                <w:b/>
                <w:color w:val="000000"/>
                <w:sz w:val="18"/>
                <w:szCs w:val="18"/>
                <w:lang w:val="fr-FR"/>
              </w:rPr>
              <w:t xml:space="preserve">Total (sans les pauses) : 7 heures </w:t>
            </w:r>
            <w:r w:rsidR="00D43D73">
              <w:rPr>
                <w:rFonts w:ascii="Helvetica Neue" w:eastAsia="Helvetica Neue" w:hAnsi="Helvetica Neue" w:cs="Helvetica Neue"/>
                <w:b/>
                <w:color w:val="000000"/>
                <w:sz w:val="18"/>
                <w:szCs w:val="18"/>
                <w:lang w:val="fr-FR"/>
              </w:rPr>
              <w:t xml:space="preserve">30 </w:t>
            </w:r>
            <w:r w:rsidRPr="00784FBC">
              <w:rPr>
                <w:rFonts w:ascii="Helvetica Neue" w:eastAsia="Helvetica Neue" w:hAnsi="Helvetica Neue" w:cs="Helvetica Neue"/>
                <w:b/>
                <w:color w:val="000000"/>
                <w:sz w:val="18"/>
                <w:szCs w:val="18"/>
                <w:lang w:val="fr-FR"/>
              </w:rPr>
              <w:t>(minimum)</w:t>
            </w:r>
          </w:p>
        </w:tc>
      </w:tr>
      <w:tr w:rsidR="00483A34" w:rsidRPr="00E046FF" w14:paraId="5ABAB74D" w14:textId="77777777" w:rsidTr="00A51ECC">
        <w:tc>
          <w:tcPr>
            <w:tcW w:w="1584" w:type="dxa"/>
            <w:tcBorders>
              <w:top w:val="nil"/>
              <w:left w:val="nil"/>
              <w:bottom w:val="nil"/>
              <w:right w:val="nil"/>
            </w:tcBorders>
            <w:shd w:val="clear" w:color="auto" w:fill="FFFFFF" w:themeFill="background1"/>
          </w:tcPr>
          <w:p w14:paraId="13E2B885" w14:textId="77777777" w:rsidR="00483A34" w:rsidRPr="00784FBC" w:rsidRDefault="00483A34" w:rsidP="00757760">
            <w:pPr>
              <w:pStyle w:val="Normal1"/>
              <w:pBdr>
                <w:top w:val="nil"/>
                <w:left w:val="nil"/>
                <w:bottom w:val="nil"/>
                <w:right w:val="nil"/>
                <w:between w:val="nil"/>
              </w:pBdr>
              <w:rPr>
                <w:rFonts w:ascii="Helvetica Neue" w:eastAsia="Helvetica Neue" w:hAnsi="Helvetica Neue" w:cs="Helvetica Neue"/>
                <w:sz w:val="18"/>
                <w:szCs w:val="18"/>
                <w:lang w:val="fr-FR"/>
              </w:rPr>
            </w:pPr>
          </w:p>
        </w:tc>
        <w:tc>
          <w:tcPr>
            <w:tcW w:w="1818" w:type="dxa"/>
            <w:tcBorders>
              <w:top w:val="nil"/>
              <w:left w:val="nil"/>
              <w:bottom w:val="nil"/>
              <w:right w:val="nil"/>
            </w:tcBorders>
            <w:shd w:val="clear" w:color="auto" w:fill="FFFFFF" w:themeFill="background1"/>
          </w:tcPr>
          <w:p w14:paraId="7BCD948A" w14:textId="77777777" w:rsidR="00483A34" w:rsidRPr="00784FBC" w:rsidRDefault="00483A34" w:rsidP="00757760">
            <w:pPr>
              <w:pStyle w:val="Normal1"/>
              <w:pBdr>
                <w:top w:val="nil"/>
                <w:left w:val="nil"/>
                <w:bottom w:val="nil"/>
                <w:right w:val="nil"/>
                <w:between w:val="nil"/>
              </w:pBdr>
              <w:rPr>
                <w:rFonts w:ascii="Helvetica Neue" w:eastAsia="Helvetica Neue" w:hAnsi="Helvetica Neue" w:cs="Helvetica Neue"/>
                <w:b/>
                <w:color w:val="000000"/>
                <w:sz w:val="18"/>
                <w:szCs w:val="18"/>
                <w:lang w:val="fr-FR"/>
              </w:rPr>
            </w:pPr>
          </w:p>
        </w:tc>
        <w:tc>
          <w:tcPr>
            <w:tcW w:w="2977" w:type="dxa"/>
            <w:tcBorders>
              <w:top w:val="nil"/>
              <w:left w:val="nil"/>
              <w:bottom w:val="nil"/>
              <w:right w:val="nil"/>
            </w:tcBorders>
            <w:shd w:val="clear" w:color="auto" w:fill="FFFFFF" w:themeFill="background1"/>
          </w:tcPr>
          <w:p w14:paraId="3C0F5F31" w14:textId="77777777" w:rsidR="00483A34" w:rsidRPr="00784FBC" w:rsidRDefault="00483A34" w:rsidP="00945346">
            <w:pPr>
              <w:pStyle w:val="Normal1"/>
              <w:pBdr>
                <w:top w:val="nil"/>
                <w:left w:val="nil"/>
                <w:bottom w:val="nil"/>
                <w:right w:val="nil"/>
                <w:between w:val="nil"/>
              </w:pBdr>
              <w:ind w:firstLine="280"/>
              <w:rPr>
                <w:rFonts w:ascii="Helvetica Neue" w:eastAsia="Helvetica Neue" w:hAnsi="Helvetica Neue" w:cs="Helvetica Neue"/>
                <w:color w:val="000000"/>
                <w:sz w:val="18"/>
                <w:szCs w:val="18"/>
                <w:lang w:val="fr-FR"/>
              </w:rPr>
            </w:pPr>
          </w:p>
        </w:tc>
        <w:tc>
          <w:tcPr>
            <w:tcW w:w="2410" w:type="dxa"/>
            <w:tcBorders>
              <w:top w:val="nil"/>
              <w:left w:val="nil"/>
              <w:bottom w:val="nil"/>
              <w:right w:val="nil"/>
            </w:tcBorders>
            <w:shd w:val="clear" w:color="auto" w:fill="FFFFFF" w:themeFill="background1"/>
          </w:tcPr>
          <w:p w14:paraId="670BFC5F" w14:textId="77777777" w:rsidR="00483A34" w:rsidRPr="00784FBC" w:rsidRDefault="00483A34" w:rsidP="00945346">
            <w:pPr>
              <w:pStyle w:val="Normal1"/>
              <w:pBdr>
                <w:top w:val="nil"/>
                <w:left w:val="nil"/>
                <w:bottom w:val="nil"/>
                <w:right w:val="nil"/>
                <w:between w:val="nil"/>
              </w:pBdr>
              <w:ind w:firstLine="280"/>
              <w:rPr>
                <w:rFonts w:ascii="Helvetica Neue" w:eastAsia="Helvetica Neue" w:hAnsi="Helvetica Neue" w:cs="Helvetica Neue"/>
                <w:color w:val="000000"/>
                <w:sz w:val="18"/>
                <w:szCs w:val="18"/>
                <w:lang w:val="fr-FR"/>
              </w:rPr>
            </w:pPr>
          </w:p>
        </w:tc>
        <w:tc>
          <w:tcPr>
            <w:tcW w:w="2268" w:type="dxa"/>
            <w:tcBorders>
              <w:top w:val="nil"/>
              <w:left w:val="nil"/>
              <w:bottom w:val="nil"/>
              <w:right w:val="nil"/>
            </w:tcBorders>
            <w:shd w:val="clear" w:color="auto" w:fill="FFFFFF" w:themeFill="background1"/>
          </w:tcPr>
          <w:p w14:paraId="18C86440" w14:textId="21201680" w:rsidR="00483A34" w:rsidRPr="00784FBC" w:rsidRDefault="00483A34" w:rsidP="00945346">
            <w:pPr>
              <w:pStyle w:val="Normal1"/>
              <w:pBdr>
                <w:top w:val="nil"/>
                <w:left w:val="nil"/>
                <w:bottom w:val="nil"/>
                <w:right w:val="nil"/>
                <w:between w:val="nil"/>
              </w:pBdr>
              <w:ind w:firstLine="280"/>
              <w:rPr>
                <w:rFonts w:ascii="Helvetica Neue" w:eastAsia="Helvetica Neue" w:hAnsi="Helvetica Neue" w:cs="Helvetica Neue"/>
                <w:color w:val="000000"/>
                <w:sz w:val="18"/>
                <w:szCs w:val="18"/>
                <w:lang w:val="fr-FR"/>
              </w:rPr>
            </w:pPr>
          </w:p>
        </w:tc>
      </w:tr>
      <w:tr w:rsidR="00A51ECC" w:rsidRPr="00483A34" w14:paraId="6AE0AB94" w14:textId="77777777" w:rsidTr="0005411D">
        <w:trPr>
          <w:cnfStyle w:val="000000100000" w:firstRow="0" w:lastRow="0" w:firstColumn="0" w:lastColumn="0" w:oddVBand="0" w:evenVBand="0" w:oddHBand="1" w:evenHBand="0" w:firstRowFirstColumn="0" w:firstRowLastColumn="0" w:lastRowFirstColumn="0" w:lastRowLastColumn="0"/>
        </w:trPr>
        <w:tc>
          <w:tcPr>
            <w:tcW w:w="11057" w:type="dxa"/>
            <w:gridSpan w:val="5"/>
            <w:tcBorders>
              <w:top w:val="nil"/>
              <w:left w:val="nil"/>
              <w:bottom w:val="nil"/>
              <w:right w:val="nil"/>
            </w:tcBorders>
            <w:shd w:val="clear" w:color="auto" w:fill="FFFFFF" w:themeFill="background1"/>
          </w:tcPr>
          <w:p w14:paraId="2CE867BE" w14:textId="1F66CB36" w:rsidR="00A51ECC" w:rsidRPr="00A51ECC" w:rsidRDefault="00A51ECC" w:rsidP="00A51ECC">
            <w:pPr>
              <w:pStyle w:val="Normal1"/>
              <w:pBdr>
                <w:top w:val="nil"/>
                <w:left w:val="nil"/>
                <w:bottom w:val="nil"/>
                <w:right w:val="nil"/>
                <w:between w:val="nil"/>
              </w:pBdr>
              <w:ind w:firstLine="280"/>
              <w:jc w:val="center"/>
              <w:rPr>
                <w:rFonts w:ascii="Helvetica Neue" w:eastAsia="Helvetica Neue" w:hAnsi="Helvetica Neue" w:cs="Helvetica Neue"/>
                <w:b/>
                <w:bCs/>
                <w:color w:val="000000"/>
                <w:sz w:val="18"/>
                <w:szCs w:val="18"/>
                <w:lang w:val="fr-FR"/>
              </w:rPr>
            </w:pPr>
            <w:r w:rsidRPr="00A51ECC">
              <w:rPr>
                <w:rFonts w:ascii="Helvetica Neue" w:eastAsia="Helvetica Neue" w:hAnsi="Helvetica Neue" w:cs="Helvetica Neue"/>
                <w:b/>
                <w:bCs/>
                <w:color w:val="000000"/>
                <w:sz w:val="30"/>
                <w:szCs w:val="30"/>
                <w:lang w:val="fr-FR"/>
              </w:rPr>
              <w:t>Jour 2</w:t>
            </w:r>
          </w:p>
        </w:tc>
      </w:tr>
      <w:tr w:rsidR="00A51ECC" w:rsidRPr="00784FBC" w14:paraId="3B92C8DF" w14:textId="77777777" w:rsidTr="00A51ECC">
        <w:tc>
          <w:tcPr>
            <w:tcW w:w="1584" w:type="dxa"/>
            <w:tcBorders>
              <w:top w:val="nil"/>
            </w:tcBorders>
            <w:shd w:val="clear" w:color="auto" w:fill="000000" w:themeFill="text1"/>
          </w:tcPr>
          <w:p w14:paraId="48233883" w14:textId="1AD5181C" w:rsidR="00A51ECC" w:rsidRPr="00543D72" w:rsidRDefault="00A51ECC" w:rsidP="00A51ECC">
            <w:pPr>
              <w:pStyle w:val="Normal1"/>
              <w:pBdr>
                <w:top w:val="nil"/>
                <w:left w:val="nil"/>
                <w:bottom w:val="nil"/>
                <w:right w:val="nil"/>
                <w:between w:val="nil"/>
              </w:pBdr>
              <w:rPr>
                <w:rFonts w:ascii="Helvetica Neue" w:eastAsia="Helvetica Neue" w:hAnsi="Helvetica Neue" w:cs="Helvetica Neue"/>
                <w:sz w:val="18"/>
                <w:szCs w:val="18"/>
                <w:lang w:val="fr-FR"/>
              </w:rPr>
            </w:pPr>
            <w:r w:rsidRPr="00A51ECC">
              <w:rPr>
                <w:rFonts w:ascii="Helvetica Neue" w:eastAsia="Helvetica Neue" w:hAnsi="Helvetica Neue" w:cs="Helvetica Neue"/>
                <w:color w:val="FFFFFF" w:themeColor="background1"/>
                <w:sz w:val="18"/>
                <w:szCs w:val="18"/>
                <w:lang w:val="fr-FR"/>
              </w:rPr>
              <w:t>Horaire</w:t>
            </w:r>
          </w:p>
        </w:tc>
        <w:tc>
          <w:tcPr>
            <w:tcW w:w="1818" w:type="dxa"/>
            <w:tcBorders>
              <w:top w:val="nil"/>
            </w:tcBorders>
            <w:shd w:val="clear" w:color="auto" w:fill="000000" w:themeFill="text1"/>
          </w:tcPr>
          <w:p w14:paraId="0A3BDB3A" w14:textId="3F4BAF99" w:rsidR="00A51ECC" w:rsidRPr="00543D72" w:rsidRDefault="00A51ECC" w:rsidP="00A51ECC">
            <w:pPr>
              <w:pStyle w:val="Normal1"/>
              <w:pBdr>
                <w:top w:val="nil"/>
                <w:left w:val="nil"/>
                <w:bottom w:val="nil"/>
                <w:right w:val="nil"/>
                <w:between w:val="nil"/>
              </w:pBdr>
              <w:rPr>
                <w:rFonts w:ascii="Helvetica Neue" w:eastAsia="Helvetica Neue" w:hAnsi="Helvetica Neue" w:cs="Helvetica Neue"/>
                <w:b/>
                <w:color w:val="000000"/>
                <w:sz w:val="18"/>
                <w:szCs w:val="18"/>
                <w:lang w:val="fr-FR"/>
              </w:rPr>
            </w:pPr>
            <w:r w:rsidRPr="00A51ECC">
              <w:rPr>
                <w:rFonts w:ascii="Helvetica Neue" w:eastAsia="Helvetica Neue" w:hAnsi="Helvetica Neue" w:cs="Helvetica Neue"/>
                <w:b/>
                <w:color w:val="FFFFFF" w:themeColor="background1"/>
                <w:sz w:val="18"/>
                <w:szCs w:val="18"/>
                <w:u w:val="single"/>
                <w:lang w:val="fr-FR"/>
              </w:rPr>
              <w:t>Thème</w:t>
            </w:r>
          </w:p>
        </w:tc>
        <w:tc>
          <w:tcPr>
            <w:tcW w:w="2977" w:type="dxa"/>
            <w:tcBorders>
              <w:top w:val="nil"/>
            </w:tcBorders>
            <w:shd w:val="clear" w:color="auto" w:fill="000000" w:themeFill="text1"/>
          </w:tcPr>
          <w:p w14:paraId="6B5E3328" w14:textId="559C48BD" w:rsidR="00A51ECC" w:rsidRPr="00543D72" w:rsidRDefault="00A51ECC" w:rsidP="00A51ECC">
            <w:pPr>
              <w:pStyle w:val="Normal1"/>
              <w:pBdr>
                <w:top w:val="nil"/>
                <w:left w:val="nil"/>
                <w:bottom w:val="nil"/>
                <w:right w:val="nil"/>
                <w:between w:val="nil"/>
              </w:pBdr>
              <w:ind w:firstLine="280"/>
              <w:rPr>
                <w:rFonts w:ascii="Helvetica Neue" w:eastAsia="Helvetica Neue" w:hAnsi="Helvetica Neue" w:cs="Helvetica Neue"/>
                <w:color w:val="000000"/>
                <w:sz w:val="18"/>
                <w:szCs w:val="18"/>
                <w:lang w:val="fr-FR"/>
              </w:rPr>
            </w:pPr>
            <w:r w:rsidRPr="00A51ECC">
              <w:rPr>
                <w:rFonts w:ascii="Helvetica Neue" w:eastAsia="Helvetica Neue" w:hAnsi="Helvetica Neue" w:cs="Helvetica Neue"/>
                <w:color w:val="FFFFFF" w:themeColor="background1"/>
                <w:sz w:val="18"/>
                <w:szCs w:val="18"/>
                <w:lang w:val="fr-FR"/>
              </w:rPr>
              <w:t>Élément de contenu</w:t>
            </w:r>
          </w:p>
        </w:tc>
        <w:tc>
          <w:tcPr>
            <w:tcW w:w="2410" w:type="dxa"/>
            <w:tcBorders>
              <w:top w:val="nil"/>
            </w:tcBorders>
            <w:shd w:val="clear" w:color="auto" w:fill="000000" w:themeFill="text1"/>
          </w:tcPr>
          <w:p w14:paraId="76EFC606" w14:textId="679F516D" w:rsidR="00A51ECC" w:rsidRPr="00543D72" w:rsidRDefault="00A51ECC" w:rsidP="00A51ECC">
            <w:pPr>
              <w:pStyle w:val="Normal1"/>
              <w:pBdr>
                <w:top w:val="nil"/>
                <w:left w:val="nil"/>
                <w:bottom w:val="nil"/>
                <w:right w:val="nil"/>
                <w:between w:val="nil"/>
              </w:pBdr>
              <w:ind w:firstLine="280"/>
              <w:rPr>
                <w:rFonts w:ascii="Helvetica Neue" w:eastAsia="Helvetica Neue" w:hAnsi="Helvetica Neue" w:cs="Helvetica Neue"/>
                <w:color w:val="000000"/>
                <w:sz w:val="18"/>
                <w:szCs w:val="18"/>
                <w:lang w:val="fr-FR"/>
              </w:rPr>
            </w:pPr>
            <w:r w:rsidRPr="00A51ECC">
              <w:rPr>
                <w:rFonts w:ascii="Helvetica Neue" w:eastAsia="Helvetica Neue" w:hAnsi="Helvetica Neue" w:cs="Helvetica Neue"/>
                <w:color w:val="FFFFFF" w:themeColor="background1"/>
                <w:sz w:val="18"/>
                <w:szCs w:val="18"/>
                <w:lang w:val="fr-FR"/>
              </w:rPr>
              <w:t>Objectif spécifique</w:t>
            </w:r>
          </w:p>
        </w:tc>
        <w:tc>
          <w:tcPr>
            <w:tcW w:w="2268" w:type="dxa"/>
            <w:tcBorders>
              <w:top w:val="nil"/>
            </w:tcBorders>
            <w:shd w:val="clear" w:color="auto" w:fill="000000" w:themeFill="text1"/>
          </w:tcPr>
          <w:p w14:paraId="3555E72F" w14:textId="35896FDC" w:rsidR="00A51ECC" w:rsidRPr="00543D72" w:rsidRDefault="00A51ECC" w:rsidP="00A51ECC">
            <w:pPr>
              <w:pStyle w:val="Normal1"/>
              <w:pBdr>
                <w:top w:val="nil"/>
                <w:left w:val="nil"/>
                <w:bottom w:val="nil"/>
                <w:right w:val="nil"/>
                <w:between w:val="nil"/>
              </w:pBdr>
              <w:ind w:firstLine="280"/>
              <w:rPr>
                <w:rFonts w:ascii="Helvetica Neue" w:eastAsia="Helvetica Neue" w:hAnsi="Helvetica Neue" w:cs="Helvetica Neue"/>
                <w:color w:val="000000"/>
                <w:sz w:val="18"/>
                <w:szCs w:val="18"/>
                <w:lang w:val="fr-FR"/>
              </w:rPr>
            </w:pPr>
            <w:r w:rsidRPr="00A51ECC">
              <w:rPr>
                <w:rFonts w:ascii="Helvetica Neue" w:eastAsia="Helvetica Neue" w:hAnsi="Helvetica Neue" w:cs="Helvetica Neue"/>
                <w:color w:val="FFFFFF" w:themeColor="background1"/>
                <w:sz w:val="18"/>
                <w:szCs w:val="18"/>
                <w:lang w:val="fr-FR"/>
              </w:rPr>
              <w:t>Modalité d’évaluation</w:t>
            </w:r>
          </w:p>
        </w:tc>
      </w:tr>
      <w:tr w:rsidR="00483A34" w:rsidRPr="00784FBC" w14:paraId="48081E0D" w14:textId="77777777" w:rsidTr="00A83E0E">
        <w:trPr>
          <w:cnfStyle w:val="000000100000" w:firstRow="0" w:lastRow="0" w:firstColumn="0" w:lastColumn="0" w:oddVBand="0" w:evenVBand="0" w:oddHBand="1" w:evenHBand="0" w:firstRowFirstColumn="0" w:firstRowLastColumn="0" w:lastRowFirstColumn="0" w:lastRowLastColumn="0"/>
          <w:trHeight w:val="132"/>
        </w:trPr>
        <w:tc>
          <w:tcPr>
            <w:tcW w:w="1584" w:type="dxa"/>
          </w:tcPr>
          <w:p w14:paraId="0930E1D7" w14:textId="0CA3D721" w:rsidR="00483A34" w:rsidRPr="00543D72" w:rsidRDefault="00483A34" w:rsidP="00757760">
            <w:pPr>
              <w:pStyle w:val="Normal1"/>
              <w:pBdr>
                <w:top w:val="nil"/>
                <w:left w:val="nil"/>
                <w:bottom w:val="nil"/>
                <w:right w:val="nil"/>
                <w:between w:val="nil"/>
              </w:pBdr>
              <w:rPr>
                <w:rFonts w:ascii="Helvetica Neue" w:eastAsia="Helvetica Neue" w:hAnsi="Helvetica Neue" w:cs="Helvetica Neue"/>
                <w:sz w:val="18"/>
                <w:szCs w:val="18"/>
                <w:lang w:val="fr-FR"/>
              </w:rPr>
            </w:pPr>
            <w:r w:rsidRPr="00543D72">
              <w:rPr>
                <w:rFonts w:ascii="Helvetica Neue" w:eastAsia="Helvetica Neue" w:hAnsi="Helvetica Neue" w:cs="Helvetica Neue"/>
                <w:sz w:val="18"/>
                <w:szCs w:val="18"/>
                <w:lang w:val="fr-FR"/>
              </w:rPr>
              <w:t>8h30 –  9h00</w:t>
            </w:r>
            <w:r w:rsidR="00984E6B">
              <w:rPr>
                <w:rFonts w:ascii="Helvetica Neue" w:eastAsia="Helvetica Neue" w:hAnsi="Helvetica Neue" w:cs="Helvetica Neue"/>
                <w:sz w:val="18"/>
                <w:szCs w:val="18"/>
                <w:lang w:val="fr-FR"/>
              </w:rPr>
              <w:t xml:space="preserve"> </w:t>
            </w:r>
            <w:r w:rsidR="00A83E0E">
              <w:rPr>
                <w:rFonts w:ascii="Helvetica Neue" w:eastAsia="Helvetica Neue" w:hAnsi="Helvetica Neue" w:cs="Helvetica Neue"/>
                <w:sz w:val="18"/>
                <w:szCs w:val="18"/>
                <w:lang w:val="fr-FR"/>
              </w:rPr>
              <w:br/>
            </w:r>
            <w:r w:rsidR="00984E6B">
              <w:rPr>
                <w:rFonts w:ascii="Helvetica Neue" w:eastAsia="Helvetica Neue" w:hAnsi="Helvetica Neue" w:cs="Helvetica Neue"/>
                <w:sz w:val="18"/>
                <w:szCs w:val="18"/>
                <w:lang w:val="fr-FR"/>
              </w:rPr>
              <w:t>(30 minutes)</w:t>
            </w:r>
          </w:p>
        </w:tc>
        <w:tc>
          <w:tcPr>
            <w:tcW w:w="1818" w:type="dxa"/>
          </w:tcPr>
          <w:p w14:paraId="3354ABE1" w14:textId="77777777" w:rsidR="00483A34" w:rsidRPr="00046357" w:rsidRDefault="00483A34" w:rsidP="00757760">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Discussions</w:t>
            </w:r>
          </w:p>
        </w:tc>
        <w:tc>
          <w:tcPr>
            <w:tcW w:w="2977" w:type="dxa"/>
          </w:tcPr>
          <w:p w14:paraId="691A6F9C" w14:textId="4FE62F7A" w:rsidR="00483A34" w:rsidRDefault="00D43D73" w:rsidP="00945346">
            <w:pPr>
              <w:pStyle w:val="Normal1"/>
              <w:pBdr>
                <w:top w:val="nil"/>
                <w:left w:val="nil"/>
                <w:bottom w:val="nil"/>
                <w:right w:val="nil"/>
                <w:between w:val="nil"/>
              </w:pBdr>
              <w:tabs>
                <w:tab w:val="center" w:pos="357"/>
              </w:tabs>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Résumé de la journée précédente</w:t>
            </w:r>
          </w:p>
        </w:tc>
        <w:tc>
          <w:tcPr>
            <w:tcW w:w="2410" w:type="dxa"/>
          </w:tcPr>
          <w:p w14:paraId="68F58A68" w14:textId="6AB65A66" w:rsidR="00483A34" w:rsidRDefault="00D43D73" w:rsidP="00945346">
            <w:pPr>
              <w:pStyle w:val="Normal1"/>
              <w:pBdr>
                <w:top w:val="nil"/>
                <w:left w:val="nil"/>
                <w:bottom w:val="nil"/>
                <w:right w:val="nil"/>
                <w:between w:val="nil"/>
              </w:pBdr>
              <w:tabs>
                <w:tab w:val="center" w:pos="357"/>
              </w:tabs>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Favoriser la rétention d’information</w:t>
            </w:r>
          </w:p>
        </w:tc>
        <w:tc>
          <w:tcPr>
            <w:tcW w:w="2268" w:type="dxa"/>
          </w:tcPr>
          <w:p w14:paraId="5252A81C" w14:textId="1C0F64A9" w:rsidR="00483A34" w:rsidRPr="00784FBC" w:rsidRDefault="00D43D73" w:rsidP="00945346">
            <w:pPr>
              <w:pStyle w:val="Normal1"/>
              <w:pBdr>
                <w:top w:val="nil"/>
                <w:left w:val="nil"/>
                <w:bottom w:val="nil"/>
                <w:right w:val="nil"/>
                <w:between w:val="nil"/>
              </w:pBdr>
              <w:tabs>
                <w:tab w:val="center" w:pos="357"/>
              </w:tabs>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Non évaluée</w:t>
            </w:r>
          </w:p>
        </w:tc>
      </w:tr>
      <w:tr w:rsidR="00483A34" w:rsidRPr="00E046FF" w14:paraId="710D7576" w14:textId="77777777" w:rsidTr="00A83E0E">
        <w:tc>
          <w:tcPr>
            <w:tcW w:w="1584" w:type="dxa"/>
          </w:tcPr>
          <w:p w14:paraId="7A75B76E" w14:textId="0480D06D" w:rsidR="00483A34" w:rsidRPr="00543D72" w:rsidRDefault="00483A34" w:rsidP="00757760">
            <w:pPr>
              <w:pStyle w:val="Normal1"/>
              <w:pBdr>
                <w:top w:val="nil"/>
                <w:left w:val="nil"/>
                <w:bottom w:val="nil"/>
                <w:right w:val="nil"/>
                <w:between w:val="nil"/>
              </w:pBdr>
              <w:rPr>
                <w:rFonts w:ascii="Helvetica Neue" w:eastAsia="Helvetica Neue" w:hAnsi="Helvetica Neue" w:cs="Helvetica Neue"/>
                <w:sz w:val="18"/>
                <w:szCs w:val="18"/>
                <w:lang w:val="fr-FR"/>
              </w:rPr>
            </w:pPr>
            <w:r w:rsidRPr="00543D72">
              <w:rPr>
                <w:rFonts w:ascii="Helvetica Neue" w:eastAsia="Helvetica Neue" w:hAnsi="Helvetica Neue" w:cs="Helvetica Neue"/>
                <w:sz w:val="18"/>
                <w:szCs w:val="18"/>
                <w:lang w:val="fr-FR"/>
              </w:rPr>
              <w:t xml:space="preserve">9h00 –  </w:t>
            </w:r>
            <w:r>
              <w:rPr>
                <w:rFonts w:ascii="Helvetica Neue" w:eastAsia="Helvetica Neue" w:hAnsi="Helvetica Neue" w:cs="Helvetica Neue"/>
                <w:sz w:val="18"/>
                <w:szCs w:val="18"/>
                <w:lang w:val="fr-FR"/>
              </w:rPr>
              <w:t>10h00</w:t>
            </w:r>
            <w:r w:rsidR="00984E6B">
              <w:rPr>
                <w:rFonts w:ascii="Helvetica Neue" w:eastAsia="Helvetica Neue" w:hAnsi="Helvetica Neue" w:cs="Helvetica Neue"/>
                <w:sz w:val="18"/>
                <w:szCs w:val="18"/>
                <w:lang w:val="fr-FR"/>
              </w:rPr>
              <w:t xml:space="preserve"> </w:t>
            </w:r>
            <w:r w:rsidR="00A83E0E">
              <w:rPr>
                <w:rFonts w:ascii="Helvetica Neue" w:eastAsia="Helvetica Neue" w:hAnsi="Helvetica Neue" w:cs="Helvetica Neue"/>
                <w:sz w:val="18"/>
                <w:szCs w:val="18"/>
                <w:lang w:val="fr-FR"/>
              </w:rPr>
              <w:br/>
            </w:r>
            <w:r w:rsidR="00984E6B">
              <w:rPr>
                <w:rFonts w:ascii="Helvetica Neue" w:eastAsia="Helvetica Neue" w:hAnsi="Helvetica Neue" w:cs="Helvetica Neue"/>
                <w:sz w:val="18"/>
                <w:szCs w:val="18"/>
                <w:lang w:val="fr-FR"/>
              </w:rPr>
              <w:t>(1 heure)</w:t>
            </w:r>
          </w:p>
        </w:tc>
        <w:tc>
          <w:tcPr>
            <w:tcW w:w="1818" w:type="dxa"/>
          </w:tcPr>
          <w:p w14:paraId="110AE795" w14:textId="77777777" w:rsidR="00483A34" w:rsidRPr="00046357" w:rsidRDefault="00483A34" w:rsidP="00757760">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Les facteurs sensibilisants</w:t>
            </w:r>
          </w:p>
        </w:tc>
        <w:tc>
          <w:tcPr>
            <w:tcW w:w="2977" w:type="dxa"/>
          </w:tcPr>
          <w:p w14:paraId="11750221" w14:textId="5C992BDE" w:rsidR="00483A34" w:rsidRDefault="00D43D73" w:rsidP="00945346">
            <w:pPr>
              <w:pStyle w:val="Normal1"/>
              <w:pBdr>
                <w:top w:val="nil"/>
                <w:left w:val="nil"/>
                <w:bottom w:val="nil"/>
                <w:right w:val="nil"/>
                <w:between w:val="nil"/>
              </w:pBdr>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 xml:space="preserve">Diaporama </w:t>
            </w:r>
            <w:r w:rsidR="00852091">
              <w:rPr>
                <w:rFonts w:ascii="Helvetica Neue" w:eastAsia="Helvetica Neue" w:hAnsi="Helvetica Neue" w:cs="Helvetica Neue"/>
                <w:color w:val="000000"/>
                <w:sz w:val="18"/>
                <w:szCs w:val="18"/>
                <w:lang w:val="fr-FR"/>
              </w:rPr>
              <w:t>présentant les facteurs biologiques, psychologiques et sociaux impliqués dans l’intensité de la douleur et l’incapacité</w:t>
            </w:r>
          </w:p>
        </w:tc>
        <w:tc>
          <w:tcPr>
            <w:tcW w:w="2410" w:type="dxa"/>
          </w:tcPr>
          <w:p w14:paraId="5EA493E8" w14:textId="28F2C560" w:rsidR="00483A34" w:rsidRDefault="00852091" w:rsidP="00945346">
            <w:pPr>
              <w:pStyle w:val="Normal1"/>
              <w:pBdr>
                <w:top w:val="nil"/>
                <w:left w:val="nil"/>
                <w:bottom w:val="nil"/>
                <w:right w:val="nil"/>
                <w:between w:val="nil"/>
              </w:pBdr>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Apprendre les facteurs à rechercher pendant l’anamnèse</w:t>
            </w:r>
          </w:p>
        </w:tc>
        <w:tc>
          <w:tcPr>
            <w:tcW w:w="2268" w:type="dxa"/>
          </w:tcPr>
          <w:p w14:paraId="6A62F2E7" w14:textId="2CC3DF60" w:rsidR="00483A34" w:rsidRPr="00784FBC" w:rsidRDefault="00852091" w:rsidP="00945346">
            <w:pPr>
              <w:pStyle w:val="Normal1"/>
              <w:pBdr>
                <w:top w:val="nil"/>
                <w:left w:val="nil"/>
                <w:bottom w:val="nil"/>
                <w:right w:val="nil"/>
                <w:between w:val="nil"/>
              </w:pBdr>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Enregistrement vocal d’un cas ou anamnèse en direct</w:t>
            </w:r>
          </w:p>
        </w:tc>
      </w:tr>
      <w:tr w:rsidR="00A83E0E" w:rsidRPr="00784FBC" w14:paraId="5559D804" w14:textId="77777777" w:rsidTr="00A83E0E">
        <w:trPr>
          <w:cnfStyle w:val="000000100000" w:firstRow="0" w:lastRow="0" w:firstColumn="0" w:lastColumn="0" w:oddVBand="0" w:evenVBand="0" w:oddHBand="1" w:evenHBand="0" w:firstRowFirstColumn="0" w:firstRowLastColumn="0" w:lastRowFirstColumn="0" w:lastRowLastColumn="0"/>
        </w:trPr>
        <w:tc>
          <w:tcPr>
            <w:tcW w:w="1584" w:type="dxa"/>
            <w:shd w:val="clear" w:color="auto" w:fill="BFBFBF" w:themeFill="background1" w:themeFillShade="BF"/>
          </w:tcPr>
          <w:p w14:paraId="2C601F23" w14:textId="5CC8AB5B" w:rsidR="00A83E0E" w:rsidRPr="00784FBC" w:rsidRDefault="00A83E0E" w:rsidP="00543D72">
            <w:pPr>
              <w:pStyle w:val="Normal1"/>
              <w:pBdr>
                <w:top w:val="nil"/>
                <w:left w:val="nil"/>
                <w:bottom w:val="nil"/>
                <w:right w:val="nil"/>
                <w:between w:val="nil"/>
              </w:pBdr>
              <w:rPr>
                <w:rFonts w:ascii="Helvetica Neue" w:eastAsia="Helvetica Neue" w:hAnsi="Helvetica Neue" w:cs="Helvetica Neue"/>
                <w:sz w:val="18"/>
                <w:szCs w:val="18"/>
                <w:lang w:val="fr-FR"/>
              </w:rPr>
            </w:pPr>
            <w:r>
              <w:rPr>
                <w:rFonts w:ascii="Helvetica Neue" w:eastAsia="Helvetica Neue" w:hAnsi="Helvetica Neue" w:cs="Helvetica Neue"/>
                <w:sz w:val="18"/>
                <w:szCs w:val="18"/>
                <w:lang w:val="fr-FR"/>
              </w:rPr>
              <w:t>10h0</w:t>
            </w:r>
            <w:r w:rsidRPr="00784FBC">
              <w:rPr>
                <w:rFonts w:ascii="Helvetica Neue" w:eastAsia="Helvetica Neue" w:hAnsi="Helvetica Neue" w:cs="Helvetica Neue"/>
                <w:sz w:val="18"/>
                <w:szCs w:val="18"/>
                <w:lang w:val="fr-FR"/>
              </w:rPr>
              <w:t>0 –</w:t>
            </w:r>
            <w:r>
              <w:rPr>
                <w:rFonts w:ascii="Helvetica Neue" w:eastAsia="Helvetica Neue" w:hAnsi="Helvetica Neue" w:cs="Helvetica Neue"/>
                <w:sz w:val="18"/>
                <w:szCs w:val="18"/>
                <w:lang w:val="fr-FR"/>
              </w:rPr>
              <w:t xml:space="preserve"> 10h15 </w:t>
            </w:r>
            <w:r>
              <w:rPr>
                <w:rFonts w:ascii="Helvetica Neue" w:eastAsia="Helvetica Neue" w:hAnsi="Helvetica Neue" w:cs="Helvetica Neue"/>
                <w:sz w:val="18"/>
                <w:szCs w:val="18"/>
                <w:lang w:val="fr-FR"/>
              </w:rPr>
              <w:br/>
              <w:t>(15 minutes)</w:t>
            </w:r>
          </w:p>
        </w:tc>
        <w:tc>
          <w:tcPr>
            <w:tcW w:w="9473" w:type="dxa"/>
            <w:gridSpan w:val="4"/>
            <w:shd w:val="clear" w:color="auto" w:fill="BFBFBF" w:themeFill="background1" w:themeFillShade="BF"/>
          </w:tcPr>
          <w:p w14:paraId="0E1EF997" w14:textId="42AC210D" w:rsidR="00A83E0E" w:rsidRPr="00784FBC" w:rsidRDefault="00A83E0E" w:rsidP="00A83E0E">
            <w:pPr>
              <w:pStyle w:val="Normal1"/>
              <w:pBdr>
                <w:top w:val="nil"/>
                <w:left w:val="nil"/>
                <w:bottom w:val="nil"/>
                <w:right w:val="nil"/>
                <w:between w:val="nil"/>
              </w:pBdr>
              <w:ind w:firstLine="280"/>
              <w:jc w:val="center"/>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Pause</w:t>
            </w:r>
          </w:p>
        </w:tc>
      </w:tr>
      <w:tr w:rsidR="00483A34" w:rsidRPr="00E046FF" w14:paraId="4EEAA45C" w14:textId="77777777" w:rsidTr="00A83E0E">
        <w:tc>
          <w:tcPr>
            <w:tcW w:w="1584" w:type="dxa"/>
          </w:tcPr>
          <w:p w14:paraId="72C0FA33" w14:textId="77A1B11C" w:rsidR="00483A34" w:rsidRPr="00543D72" w:rsidRDefault="00483A34" w:rsidP="00757760">
            <w:pPr>
              <w:pStyle w:val="Normal1"/>
              <w:pBdr>
                <w:top w:val="nil"/>
                <w:left w:val="nil"/>
                <w:bottom w:val="nil"/>
                <w:right w:val="nil"/>
                <w:between w:val="nil"/>
              </w:pBdr>
              <w:rPr>
                <w:rFonts w:ascii="Helvetica Neue" w:eastAsia="Helvetica Neue" w:hAnsi="Helvetica Neue" w:cs="Helvetica Neue"/>
                <w:sz w:val="18"/>
                <w:szCs w:val="18"/>
                <w:lang w:val="fr-FR"/>
              </w:rPr>
            </w:pPr>
            <w:r>
              <w:rPr>
                <w:rFonts w:ascii="Helvetica Neue" w:eastAsia="Helvetica Neue" w:hAnsi="Helvetica Neue" w:cs="Helvetica Neue"/>
                <w:sz w:val="18"/>
                <w:szCs w:val="18"/>
                <w:lang w:val="fr-FR"/>
              </w:rPr>
              <w:t>10h15</w:t>
            </w:r>
            <w:r w:rsidRPr="00543D72">
              <w:rPr>
                <w:rFonts w:ascii="Helvetica Neue" w:eastAsia="Helvetica Neue" w:hAnsi="Helvetica Neue" w:cs="Helvetica Neue"/>
                <w:sz w:val="18"/>
                <w:szCs w:val="18"/>
                <w:lang w:val="fr-FR"/>
              </w:rPr>
              <w:t xml:space="preserve"> – </w:t>
            </w:r>
            <w:r>
              <w:rPr>
                <w:rFonts w:ascii="Helvetica Neue" w:eastAsia="Helvetica Neue" w:hAnsi="Helvetica Neue" w:cs="Helvetica Neue"/>
                <w:sz w:val="18"/>
                <w:szCs w:val="18"/>
                <w:lang w:val="fr-FR"/>
              </w:rPr>
              <w:t>10h45</w:t>
            </w:r>
            <w:r w:rsidR="00A83E0E">
              <w:rPr>
                <w:rFonts w:ascii="Helvetica Neue" w:eastAsia="Helvetica Neue" w:hAnsi="Helvetica Neue" w:cs="Helvetica Neue"/>
                <w:sz w:val="18"/>
                <w:szCs w:val="18"/>
                <w:lang w:val="fr-FR"/>
              </w:rPr>
              <w:br/>
            </w:r>
            <w:r w:rsidR="00984E6B">
              <w:rPr>
                <w:rFonts w:ascii="Helvetica Neue" w:eastAsia="Helvetica Neue" w:hAnsi="Helvetica Neue" w:cs="Helvetica Neue"/>
                <w:sz w:val="18"/>
                <w:szCs w:val="18"/>
                <w:lang w:val="fr-FR"/>
              </w:rPr>
              <w:t>(30 minutes)</w:t>
            </w:r>
          </w:p>
        </w:tc>
        <w:tc>
          <w:tcPr>
            <w:tcW w:w="1818" w:type="dxa"/>
          </w:tcPr>
          <w:p w14:paraId="704B742E" w14:textId="77777777" w:rsidR="00483A34" w:rsidRPr="00046357" w:rsidRDefault="00483A34" w:rsidP="00757760">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Inflammation et axe hypothalamo-hypophysaire</w:t>
            </w:r>
          </w:p>
        </w:tc>
        <w:tc>
          <w:tcPr>
            <w:tcW w:w="2977" w:type="dxa"/>
          </w:tcPr>
          <w:p w14:paraId="55852F5A" w14:textId="0CB96756" w:rsidR="00483A34" w:rsidRDefault="00852091" w:rsidP="00852091">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Diaporama inflammation, cellules gliales et sensibilisation périphérique</w:t>
            </w:r>
          </w:p>
        </w:tc>
        <w:tc>
          <w:tcPr>
            <w:tcW w:w="2410" w:type="dxa"/>
          </w:tcPr>
          <w:p w14:paraId="2CDB06CA" w14:textId="1583ECC1" w:rsidR="00483A34" w:rsidRDefault="00852091" w:rsidP="00945346">
            <w:pPr>
              <w:pStyle w:val="Normal1"/>
              <w:pBdr>
                <w:top w:val="nil"/>
                <w:left w:val="nil"/>
                <w:bottom w:val="nil"/>
                <w:right w:val="nil"/>
                <w:between w:val="nil"/>
              </w:pBdr>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Connaître les mécanismes de l’inflammation, son traitement et sa présentation clinique</w:t>
            </w:r>
          </w:p>
        </w:tc>
        <w:tc>
          <w:tcPr>
            <w:tcW w:w="2268" w:type="dxa"/>
          </w:tcPr>
          <w:p w14:paraId="19B4FA15" w14:textId="19E7DCC3" w:rsidR="00483A34" w:rsidRPr="00784FBC" w:rsidRDefault="00852091" w:rsidP="00945346">
            <w:pPr>
              <w:pStyle w:val="Normal1"/>
              <w:pBdr>
                <w:top w:val="nil"/>
                <w:left w:val="nil"/>
                <w:bottom w:val="nil"/>
                <w:right w:val="nil"/>
                <w:between w:val="nil"/>
              </w:pBdr>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Evaluation lors des cas cliniques</w:t>
            </w:r>
          </w:p>
        </w:tc>
      </w:tr>
      <w:tr w:rsidR="00483A34" w:rsidRPr="00E046FF" w14:paraId="1D1625AF" w14:textId="77777777" w:rsidTr="00A83E0E">
        <w:trPr>
          <w:cnfStyle w:val="000000100000" w:firstRow="0" w:lastRow="0" w:firstColumn="0" w:lastColumn="0" w:oddVBand="0" w:evenVBand="0" w:oddHBand="1" w:evenHBand="0" w:firstRowFirstColumn="0" w:firstRowLastColumn="0" w:lastRowFirstColumn="0" w:lastRowLastColumn="0"/>
        </w:trPr>
        <w:tc>
          <w:tcPr>
            <w:tcW w:w="1584" w:type="dxa"/>
          </w:tcPr>
          <w:p w14:paraId="1AB0481F" w14:textId="7D126A46" w:rsidR="00483A34" w:rsidRPr="00543D72" w:rsidRDefault="00483A34" w:rsidP="00757760">
            <w:pPr>
              <w:pStyle w:val="Normal1"/>
              <w:pBdr>
                <w:top w:val="nil"/>
                <w:left w:val="nil"/>
                <w:bottom w:val="nil"/>
                <w:right w:val="nil"/>
                <w:between w:val="nil"/>
              </w:pBdr>
              <w:rPr>
                <w:rFonts w:ascii="Helvetica Neue" w:eastAsia="Helvetica Neue" w:hAnsi="Helvetica Neue" w:cs="Helvetica Neue"/>
                <w:sz w:val="18"/>
                <w:szCs w:val="18"/>
                <w:lang w:val="fr-FR"/>
              </w:rPr>
            </w:pPr>
            <w:r w:rsidRPr="00543D72">
              <w:rPr>
                <w:rFonts w:ascii="Helvetica Neue" w:eastAsia="Helvetica Neue" w:hAnsi="Helvetica Neue" w:cs="Helvetica Neue"/>
                <w:sz w:val="18"/>
                <w:szCs w:val="18"/>
                <w:lang w:val="fr-FR"/>
              </w:rPr>
              <w:t>10h45 – 12h15</w:t>
            </w:r>
            <w:r w:rsidR="00984E6B">
              <w:rPr>
                <w:rFonts w:ascii="Helvetica Neue" w:eastAsia="Helvetica Neue" w:hAnsi="Helvetica Neue" w:cs="Helvetica Neue"/>
                <w:sz w:val="18"/>
                <w:szCs w:val="18"/>
                <w:lang w:val="fr-FR"/>
              </w:rPr>
              <w:t xml:space="preserve"> </w:t>
            </w:r>
            <w:r w:rsidR="00A83E0E">
              <w:rPr>
                <w:rFonts w:ascii="Helvetica Neue" w:eastAsia="Helvetica Neue" w:hAnsi="Helvetica Neue" w:cs="Helvetica Neue"/>
                <w:sz w:val="18"/>
                <w:szCs w:val="18"/>
                <w:lang w:val="fr-FR"/>
              </w:rPr>
              <w:br/>
            </w:r>
            <w:r w:rsidR="00984E6B">
              <w:rPr>
                <w:rFonts w:ascii="Helvetica Neue" w:eastAsia="Helvetica Neue" w:hAnsi="Helvetica Neue" w:cs="Helvetica Neue"/>
                <w:sz w:val="18"/>
                <w:szCs w:val="18"/>
                <w:lang w:val="fr-FR"/>
              </w:rPr>
              <w:t>(1 heure 30 min)</w:t>
            </w:r>
          </w:p>
        </w:tc>
        <w:tc>
          <w:tcPr>
            <w:tcW w:w="1818" w:type="dxa"/>
          </w:tcPr>
          <w:p w14:paraId="77CB99E9" w14:textId="77777777" w:rsidR="00483A34" w:rsidRPr="00046357" w:rsidRDefault="00483A34" w:rsidP="00757760">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Anamnèse</w:t>
            </w:r>
          </w:p>
        </w:tc>
        <w:tc>
          <w:tcPr>
            <w:tcW w:w="2977" w:type="dxa"/>
          </w:tcPr>
          <w:p w14:paraId="18D6754E" w14:textId="22E771F6" w:rsidR="00483A34" w:rsidRDefault="00852091" w:rsidP="00945346">
            <w:pPr>
              <w:pStyle w:val="Normal1"/>
              <w:pBdr>
                <w:top w:val="nil"/>
                <w:left w:val="nil"/>
                <w:bottom w:val="nil"/>
                <w:right w:val="nil"/>
                <w:between w:val="nil"/>
              </w:pBdr>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Rédaction de questions types et identification des facteurs présents lors de l’écoute d’un enregistrement ou d’une anamnèse en direct</w:t>
            </w:r>
          </w:p>
        </w:tc>
        <w:tc>
          <w:tcPr>
            <w:tcW w:w="2410" w:type="dxa"/>
          </w:tcPr>
          <w:p w14:paraId="298E819F" w14:textId="775E2E57" w:rsidR="00483A34" w:rsidRDefault="00852091" w:rsidP="00945346">
            <w:pPr>
              <w:pStyle w:val="Normal1"/>
              <w:pBdr>
                <w:top w:val="nil"/>
                <w:left w:val="nil"/>
                <w:bottom w:val="nil"/>
                <w:right w:val="nil"/>
                <w:between w:val="nil"/>
              </w:pBdr>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Apprendre les techniques de relance de discours et repérage des facteurs sensibilisants impliqués ainsi que les drapeaux rouges. Identification des objectifs</w:t>
            </w:r>
          </w:p>
        </w:tc>
        <w:tc>
          <w:tcPr>
            <w:tcW w:w="2268" w:type="dxa"/>
          </w:tcPr>
          <w:p w14:paraId="58DC78E1" w14:textId="1641A5AA" w:rsidR="00483A34" w:rsidRPr="00784FBC" w:rsidRDefault="00852091" w:rsidP="00945346">
            <w:pPr>
              <w:pStyle w:val="Normal1"/>
              <w:pBdr>
                <w:top w:val="nil"/>
                <w:left w:val="nil"/>
                <w:bottom w:val="nil"/>
                <w:right w:val="nil"/>
                <w:between w:val="nil"/>
              </w:pBdr>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Evaluation directe par feuille de bilan</w:t>
            </w:r>
          </w:p>
        </w:tc>
      </w:tr>
      <w:tr w:rsidR="00A83E0E" w:rsidRPr="00784FBC" w14:paraId="4DFDED35" w14:textId="77777777" w:rsidTr="00A83E0E">
        <w:tc>
          <w:tcPr>
            <w:tcW w:w="1584" w:type="dxa"/>
            <w:shd w:val="clear" w:color="auto" w:fill="BFBFBF" w:themeFill="background1" w:themeFillShade="BF"/>
          </w:tcPr>
          <w:p w14:paraId="75B06B29" w14:textId="5641AA9E" w:rsidR="00A83E0E" w:rsidRPr="00543D72" w:rsidRDefault="00A83E0E" w:rsidP="00757760">
            <w:pPr>
              <w:pStyle w:val="Normal1"/>
              <w:pBdr>
                <w:top w:val="nil"/>
                <w:left w:val="nil"/>
                <w:bottom w:val="nil"/>
                <w:right w:val="nil"/>
                <w:between w:val="nil"/>
              </w:pBdr>
              <w:rPr>
                <w:rFonts w:ascii="Helvetica Neue" w:eastAsia="Helvetica Neue" w:hAnsi="Helvetica Neue" w:cs="Helvetica Neue"/>
                <w:sz w:val="18"/>
                <w:szCs w:val="18"/>
                <w:lang w:val="fr-FR"/>
              </w:rPr>
            </w:pPr>
            <w:r w:rsidRPr="00543D72">
              <w:rPr>
                <w:rFonts w:ascii="Helvetica Neue" w:eastAsia="Helvetica Neue" w:hAnsi="Helvetica Neue" w:cs="Helvetica Neue"/>
                <w:sz w:val="18"/>
                <w:szCs w:val="18"/>
                <w:lang w:val="fr-FR"/>
              </w:rPr>
              <w:t>12h15 – 13h30</w:t>
            </w:r>
            <w:r>
              <w:rPr>
                <w:rFonts w:ascii="Helvetica Neue" w:eastAsia="Helvetica Neue" w:hAnsi="Helvetica Neue" w:cs="Helvetica Neue"/>
                <w:sz w:val="18"/>
                <w:szCs w:val="18"/>
                <w:lang w:val="fr-FR"/>
              </w:rPr>
              <w:br/>
              <w:t>(1 heure 15 min)</w:t>
            </w:r>
          </w:p>
        </w:tc>
        <w:tc>
          <w:tcPr>
            <w:tcW w:w="9473" w:type="dxa"/>
            <w:gridSpan w:val="4"/>
            <w:shd w:val="clear" w:color="auto" w:fill="BFBFBF" w:themeFill="background1" w:themeFillShade="BF"/>
          </w:tcPr>
          <w:p w14:paraId="41936106" w14:textId="54AC5CAE" w:rsidR="00A83E0E" w:rsidRPr="00784FBC" w:rsidRDefault="00A83E0E" w:rsidP="00A83E0E">
            <w:pPr>
              <w:pStyle w:val="Normal1"/>
              <w:pBdr>
                <w:top w:val="nil"/>
                <w:left w:val="nil"/>
                <w:bottom w:val="nil"/>
                <w:right w:val="nil"/>
                <w:between w:val="nil"/>
              </w:pBdr>
              <w:ind w:firstLine="280"/>
              <w:jc w:val="center"/>
              <w:rPr>
                <w:rFonts w:ascii="Helvetica Neue" w:eastAsia="Helvetica Neue" w:hAnsi="Helvetica Neue" w:cs="Helvetica Neue"/>
                <w:color w:val="000000"/>
                <w:sz w:val="18"/>
                <w:szCs w:val="18"/>
                <w:lang w:val="fr-FR"/>
              </w:rPr>
            </w:pPr>
            <w:r w:rsidRPr="00046357">
              <w:rPr>
                <w:rFonts w:ascii="Helvetica Neue" w:eastAsia="Helvetica Neue" w:hAnsi="Helvetica Neue" w:cs="Helvetica Neue"/>
                <w:color w:val="000000"/>
                <w:sz w:val="18"/>
                <w:szCs w:val="18"/>
                <w:lang w:val="fr-FR"/>
              </w:rPr>
              <w:t>Pause déjeuner</w:t>
            </w:r>
          </w:p>
        </w:tc>
      </w:tr>
      <w:tr w:rsidR="00483A34" w:rsidRPr="00784FBC" w14:paraId="220B5FED" w14:textId="77777777" w:rsidTr="00A83E0E">
        <w:trPr>
          <w:cnfStyle w:val="000000100000" w:firstRow="0" w:lastRow="0" w:firstColumn="0" w:lastColumn="0" w:oddVBand="0" w:evenVBand="0" w:oddHBand="1" w:evenHBand="0" w:firstRowFirstColumn="0" w:firstRowLastColumn="0" w:lastRowFirstColumn="0" w:lastRowLastColumn="0"/>
        </w:trPr>
        <w:tc>
          <w:tcPr>
            <w:tcW w:w="1584" w:type="dxa"/>
          </w:tcPr>
          <w:p w14:paraId="2181F5C7" w14:textId="566111CF" w:rsidR="00483A34" w:rsidRPr="00543D72" w:rsidRDefault="00483A34" w:rsidP="00757760">
            <w:pPr>
              <w:pStyle w:val="Normal1"/>
              <w:pBdr>
                <w:top w:val="nil"/>
                <w:left w:val="nil"/>
                <w:bottom w:val="nil"/>
                <w:right w:val="nil"/>
                <w:between w:val="nil"/>
              </w:pBdr>
              <w:rPr>
                <w:rFonts w:ascii="Helvetica Neue" w:eastAsia="Helvetica Neue" w:hAnsi="Helvetica Neue" w:cs="Helvetica Neue"/>
                <w:sz w:val="18"/>
                <w:szCs w:val="18"/>
                <w:lang w:val="fr-FR"/>
              </w:rPr>
            </w:pPr>
            <w:r w:rsidRPr="00543D72">
              <w:rPr>
                <w:rFonts w:ascii="Helvetica Neue" w:eastAsia="Helvetica Neue" w:hAnsi="Helvetica Neue" w:cs="Helvetica Neue"/>
                <w:sz w:val="18"/>
                <w:szCs w:val="18"/>
                <w:lang w:val="fr-FR"/>
              </w:rPr>
              <w:t xml:space="preserve">13h30 – </w:t>
            </w:r>
            <w:r>
              <w:rPr>
                <w:rFonts w:ascii="Helvetica Neue" w:eastAsia="Helvetica Neue" w:hAnsi="Helvetica Neue" w:cs="Helvetica Neue"/>
                <w:sz w:val="18"/>
                <w:szCs w:val="18"/>
                <w:lang w:val="fr-FR"/>
              </w:rPr>
              <w:t>15h00</w:t>
            </w:r>
            <w:r w:rsidR="00A83E0E">
              <w:rPr>
                <w:rFonts w:ascii="Helvetica Neue" w:eastAsia="Helvetica Neue" w:hAnsi="Helvetica Neue" w:cs="Helvetica Neue"/>
                <w:sz w:val="18"/>
                <w:szCs w:val="18"/>
                <w:lang w:val="fr-FR"/>
              </w:rPr>
              <w:br/>
            </w:r>
            <w:r w:rsidR="00984E6B">
              <w:rPr>
                <w:rFonts w:ascii="Helvetica Neue" w:eastAsia="Helvetica Neue" w:hAnsi="Helvetica Neue" w:cs="Helvetica Neue"/>
                <w:sz w:val="18"/>
                <w:szCs w:val="18"/>
                <w:lang w:val="fr-FR"/>
              </w:rPr>
              <w:t>(1 heure 30 mi</w:t>
            </w:r>
            <w:r w:rsidR="00A83E0E">
              <w:rPr>
                <w:rFonts w:ascii="Helvetica Neue" w:eastAsia="Helvetica Neue" w:hAnsi="Helvetica Neue" w:cs="Helvetica Neue"/>
                <w:sz w:val="18"/>
                <w:szCs w:val="18"/>
                <w:lang w:val="fr-FR"/>
              </w:rPr>
              <w:t>n</w:t>
            </w:r>
            <w:r w:rsidR="00984E6B">
              <w:rPr>
                <w:rFonts w:ascii="Helvetica Neue" w:eastAsia="Helvetica Neue" w:hAnsi="Helvetica Neue" w:cs="Helvetica Neue"/>
                <w:sz w:val="18"/>
                <w:szCs w:val="18"/>
                <w:lang w:val="fr-FR"/>
              </w:rPr>
              <w:t>)</w:t>
            </w:r>
          </w:p>
        </w:tc>
        <w:tc>
          <w:tcPr>
            <w:tcW w:w="1818" w:type="dxa"/>
          </w:tcPr>
          <w:p w14:paraId="11BE9FDF" w14:textId="77777777" w:rsidR="00483A34" w:rsidRPr="00046357" w:rsidRDefault="00483A34" w:rsidP="00757760">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Examen clinique</w:t>
            </w:r>
          </w:p>
        </w:tc>
        <w:tc>
          <w:tcPr>
            <w:tcW w:w="2977" w:type="dxa"/>
          </w:tcPr>
          <w:p w14:paraId="60BE5C66" w14:textId="6C80791D" w:rsidR="00483A34" w:rsidRDefault="00852091" w:rsidP="00945346">
            <w:pPr>
              <w:pStyle w:val="Normal1"/>
              <w:pBdr>
                <w:top w:val="nil"/>
                <w:left w:val="nil"/>
                <w:bottom w:val="nil"/>
                <w:right w:val="nil"/>
                <w:between w:val="nil"/>
              </w:pBdr>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Pratique des tests cliniques sensoriels</w:t>
            </w:r>
            <w:r w:rsidR="00D36F84">
              <w:rPr>
                <w:rFonts w:ascii="Helvetica Neue" w:eastAsia="Helvetica Neue" w:hAnsi="Helvetica Neue" w:cs="Helvetica Neue"/>
                <w:color w:val="000000"/>
                <w:sz w:val="18"/>
                <w:szCs w:val="18"/>
                <w:lang w:val="fr-FR"/>
              </w:rPr>
              <w:t xml:space="preserve"> et de tests de modulation de symptômes</w:t>
            </w:r>
          </w:p>
        </w:tc>
        <w:tc>
          <w:tcPr>
            <w:tcW w:w="2410" w:type="dxa"/>
          </w:tcPr>
          <w:p w14:paraId="00C4545C" w14:textId="62838519" w:rsidR="00483A34" w:rsidRDefault="00D36F84" w:rsidP="00945346">
            <w:pPr>
              <w:pStyle w:val="Normal1"/>
              <w:pBdr>
                <w:top w:val="nil"/>
                <w:left w:val="nil"/>
                <w:bottom w:val="nil"/>
                <w:right w:val="nil"/>
                <w:between w:val="nil"/>
              </w:pBdr>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Réaliser un examen en accord avec les preuves permettant d’assurer un soin adapté et en tout sécurité</w:t>
            </w:r>
          </w:p>
        </w:tc>
        <w:tc>
          <w:tcPr>
            <w:tcW w:w="2268" w:type="dxa"/>
          </w:tcPr>
          <w:p w14:paraId="5907F9EA" w14:textId="590BBFF9" w:rsidR="00483A34" w:rsidRPr="00784FBC" w:rsidRDefault="00D36F84" w:rsidP="00945346">
            <w:pPr>
              <w:pStyle w:val="Normal1"/>
              <w:pBdr>
                <w:top w:val="nil"/>
                <w:left w:val="nil"/>
                <w:bottom w:val="nil"/>
                <w:right w:val="nil"/>
                <w:between w:val="nil"/>
              </w:pBdr>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Examen  de démonstration</w:t>
            </w:r>
          </w:p>
        </w:tc>
      </w:tr>
      <w:tr w:rsidR="00483A34" w:rsidRPr="00784FBC" w14:paraId="456EB53A" w14:textId="77777777" w:rsidTr="00A83E0E">
        <w:tc>
          <w:tcPr>
            <w:tcW w:w="1584" w:type="dxa"/>
          </w:tcPr>
          <w:p w14:paraId="296BB960" w14:textId="2A0C3416" w:rsidR="00483A34" w:rsidRPr="00543D72" w:rsidRDefault="00483A34" w:rsidP="00757760">
            <w:pPr>
              <w:pStyle w:val="Normal1"/>
              <w:pBdr>
                <w:top w:val="nil"/>
                <w:left w:val="nil"/>
                <w:bottom w:val="nil"/>
                <w:right w:val="nil"/>
                <w:between w:val="nil"/>
              </w:pBdr>
              <w:rPr>
                <w:rFonts w:ascii="Helvetica Neue" w:eastAsia="Helvetica Neue" w:hAnsi="Helvetica Neue" w:cs="Helvetica Neue"/>
                <w:sz w:val="18"/>
                <w:szCs w:val="18"/>
                <w:lang w:val="fr-FR"/>
              </w:rPr>
            </w:pPr>
            <w:r>
              <w:rPr>
                <w:rFonts w:ascii="Helvetica Neue" w:eastAsia="Helvetica Neue" w:hAnsi="Helvetica Neue" w:cs="Helvetica Neue"/>
                <w:sz w:val="18"/>
                <w:szCs w:val="18"/>
                <w:lang w:val="fr-FR"/>
              </w:rPr>
              <w:t>15h00</w:t>
            </w:r>
            <w:r w:rsidRPr="00543D72">
              <w:rPr>
                <w:rFonts w:ascii="Helvetica Neue" w:eastAsia="Helvetica Neue" w:hAnsi="Helvetica Neue" w:cs="Helvetica Neue"/>
                <w:sz w:val="18"/>
                <w:szCs w:val="18"/>
                <w:lang w:val="fr-FR"/>
              </w:rPr>
              <w:t xml:space="preserve"> – 15h30</w:t>
            </w:r>
            <w:r w:rsidR="00A83E0E">
              <w:rPr>
                <w:rFonts w:ascii="Helvetica Neue" w:eastAsia="Helvetica Neue" w:hAnsi="Helvetica Neue" w:cs="Helvetica Neue"/>
                <w:sz w:val="18"/>
                <w:szCs w:val="18"/>
                <w:lang w:val="fr-FR"/>
              </w:rPr>
              <w:br/>
            </w:r>
            <w:r w:rsidR="00984E6B">
              <w:rPr>
                <w:rFonts w:ascii="Helvetica Neue" w:eastAsia="Helvetica Neue" w:hAnsi="Helvetica Neue" w:cs="Helvetica Neue"/>
                <w:sz w:val="18"/>
                <w:szCs w:val="18"/>
                <w:lang w:val="fr-FR"/>
              </w:rPr>
              <w:t>(30 minutes)</w:t>
            </w:r>
          </w:p>
        </w:tc>
        <w:tc>
          <w:tcPr>
            <w:tcW w:w="1818" w:type="dxa"/>
          </w:tcPr>
          <w:p w14:paraId="24B36D25" w14:textId="77777777" w:rsidR="00483A34" w:rsidRPr="00046357" w:rsidRDefault="00483A34" w:rsidP="00757760">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Établir un plan de traitement</w:t>
            </w:r>
          </w:p>
        </w:tc>
        <w:tc>
          <w:tcPr>
            <w:tcW w:w="2977" w:type="dxa"/>
          </w:tcPr>
          <w:p w14:paraId="7F33561B" w14:textId="61AE6D7F" w:rsidR="00483A34" w:rsidRDefault="00D36F84" w:rsidP="00945346">
            <w:pPr>
              <w:pStyle w:val="Normal1"/>
              <w:pBdr>
                <w:top w:val="nil"/>
                <w:left w:val="nil"/>
                <w:bottom w:val="nil"/>
                <w:right w:val="nil"/>
                <w:between w:val="nil"/>
              </w:pBdr>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Diaporama et pratique avec les SMART Goals</w:t>
            </w:r>
          </w:p>
        </w:tc>
        <w:tc>
          <w:tcPr>
            <w:tcW w:w="2410" w:type="dxa"/>
          </w:tcPr>
          <w:p w14:paraId="60CC1C05" w14:textId="38C49C9D" w:rsidR="00483A34" w:rsidRDefault="00D36F84" w:rsidP="00945346">
            <w:pPr>
              <w:pStyle w:val="Normal1"/>
              <w:pBdr>
                <w:top w:val="nil"/>
                <w:left w:val="nil"/>
                <w:bottom w:val="nil"/>
                <w:right w:val="nil"/>
                <w:between w:val="nil"/>
              </w:pBdr>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Elaborer un plan de traitement avec des objectifs à court, moyen et long terme</w:t>
            </w:r>
          </w:p>
        </w:tc>
        <w:tc>
          <w:tcPr>
            <w:tcW w:w="2268" w:type="dxa"/>
          </w:tcPr>
          <w:p w14:paraId="126EF30B" w14:textId="40DF714A" w:rsidR="00483A34" w:rsidRPr="00784FBC" w:rsidRDefault="00D36F84" w:rsidP="00945346">
            <w:pPr>
              <w:pStyle w:val="Normal1"/>
              <w:pBdr>
                <w:top w:val="nil"/>
                <w:left w:val="nil"/>
                <w:bottom w:val="nil"/>
                <w:right w:val="nil"/>
                <w:between w:val="nil"/>
              </w:pBdr>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Evaluation des SMART goals</w:t>
            </w:r>
          </w:p>
        </w:tc>
      </w:tr>
      <w:tr w:rsidR="00A83E0E" w:rsidRPr="00784FBC" w14:paraId="21DF09C6" w14:textId="77777777" w:rsidTr="00A83E0E">
        <w:trPr>
          <w:cnfStyle w:val="000000100000" w:firstRow="0" w:lastRow="0" w:firstColumn="0" w:lastColumn="0" w:oddVBand="0" w:evenVBand="0" w:oddHBand="1" w:evenHBand="0" w:firstRowFirstColumn="0" w:firstRowLastColumn="0" w:lastRowFirstColumn="0" w:lastRowLastColumn="0"/>
        </w:trPr>
        <w:tc>
          <w:tcPr>
            <w:tcW w:w="1584" w:type="dxa"/>
            <w:shd w:val="clear" w:color="auto" w:fill="BFBFBF" w:themeFill="background1" w:themeFillShade="BF"/>
          </w:tcPr>
          <w:p w14:paraId="432B4FCE" w14:textId="27BD5F56" w:rsidR="00A83E0E" w:rsidRPr="00543D72" w:rsidRDefault="00A83E0E" w:rsidP="00757760">
            <w:pPr>
              <w:pStyle w:val="Normal1"/>
              <w:pBdr>
                <w:top w:val="nil"/>
                <w:left w:val="nil"/>
                <w:bottom w:val="nil"/>
                <w:right w:val="nil"/>
                <w:between w:val="nil"/>
              </w:pBdr>
              <w:rPr>
                <w:rFonts w:ascii="Helvetica Neue" w:eastAsia="Helvetica Neue" w:hAnsi="Helvetica Neue" w:cs="Helvetica Neue"/>
                <w:sz w:val="18"/>
                <w:szCs w:val="18"/>
                <w:lang w:val="fr-FR"/>
              </w:rPr>
            </w:pPr>
            <w:r w:rsidRPr="00543D72">
              <w:rPr>
                <w:rFonts w:ascii="Helvetica Neue" w:eastAsia="Helvetica Neue" w:hAnsi="Helvetica Neue" w:cs="Helvetica Neue"/>
                <w:sz w:val="18"/>
                <w:szCs w:val="18"/>
                <w:lang w:val="fr-FR"/>
              </w:rPr>
              <w:t xml:space="preserve">15h30 – </w:t>
            </w:r>
            <w:r>
              <w:rPr>
                <w:rFonts w:ascii="Helvetica Neue" w:eastAsia="Helvetica Neue" w:hAnsi="Helvetica Neue" w:cs="Helvetica Neue"/>
                <w:sz w:val="18"/>
                <w:szCs w:val="18"/>
                <w:lang w:val="fr-FR"/>
              </w:rPr>
              <w:t>15h45</w:t>
            </w:r>
            <w:r>
              <w:rPr>
                <w:rFonts w:ascii="Helvetica Neue" w:eastAsia="Helvetica Neue" w:hAnsi="Helvetica Neue" w:cs="Helvetica Neue"/>
                <w:sz w:val="18"/>
                <w:szCs w:val="18"/>
                <w:lang w:val="fr-FR"/>
              </w:rPr>
              <w:br/>
              <w:t>(15 minutes)</w:t>
            </w:r>
          </w:p>
        </w:tc>
        <w:tc>
          <w:tcPr>
            <w:tcW w:w="9473" w:type="dxa"/>
            <w:gridSpan w:val="4"/>
            <w:shd w:val="clear" w:color="auto" w:fill="BFBFBF" w:themeFill="background1" w:themeFillShade="BF"/>
          </w:tcPr>
          <w:p w14:paraId="2002AE22" w14:textId="54C3B363" w:rsidR="00A83E0E" w:rsidRPr="00784FBC" w:rsidRDefault="00A83E0E" w:rsidP="00A83E0E">
            <w:pPr>
              <w:pStyle w:val="Normal1"/>
              <w:pBdr>
                <w:top w:val="nil"/>
                <w:left w:val="nil"/>
                <w:bottom w:val="nil"/>
                <w:right w:val="nil"/>
                <w:between w:val="nil"/>
              </w:pBdr>
              <w:ind w:firstLine="280"/>
              <w:jc w:val="center"/>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Pause</w:t>
            </w:r>
          </w:p>
        </w:tc>
      </w:tr>
      <w:tr w:rsidR="00483A34" w:rsidRPr="00E046FF" w14:paraId="443A45E4" w14:textId="77777777" w:rsidTr="00A83E0E">
        <w:tc>
          <w:tcPr>
            <w:tcW w:w="1584" w:type="dxa"/>
          </w:tcPr>
          <w:p w14:paraId="0486A5FC" w14:textId="0F45E644" w:rsidR="00483A34" w:rsidRPr="00543D72" w:rsidRDefault="00483A34" w:rsidP="00757760">
            <w:pPr>
              <w:pStyle w:val="Normal1"/>
              <w:pBdr>
                <w:top w:val="nil"/>
                <w:left w:val="nil"/>
                <w:bottom w:val="nil"/>
                <w:right w:val="nil"/>
                <w:between w:val="nil"/>
              </w:pBdr>
              <w:rPr>
                <w:rFonts w:ascii="Helvetica Neue" w:eastAsia="Helvetica Neue" w:hAnsi="Helvetica Neue" w:cs="Helvetica Neue"/>
                <w:sz w:val="18"/>
                <w:szCs w:val="18"/>
                <w:lang w:val="fr-FR"/>
              </w:rPr>
            </w:pPr>
            <w:r>
              <w:rPr>
                <w:rFonts w:ascii="Helvetica Neue" w:eastAsia="Helvetica Neue" w:hAnsi="Helvetica Neue" w:cs="Helvetica Neue"/>
                <w:sz w:val="18"/>
                <w:szCs w:val="18"/>
                <w:lang w:val="fr-FR"/>
              </w:rPr>
              <w:t>15h45 – 17h30</w:t>
            </w:r>
            <w:r w:rsidR="00A83E0E">
              <w:rPr>
                <w:rFonts w:ascii="Helvetica Neue" w:eastAsia="Helvetica Neue" w:hAnsi="Helvetica Neue" w:cs="Helvetica Neue"/>
                <w:sz w:val="18"/>
                <w:szCs w:val="18"/>
                <w:lang w:val="fr-FR"/>
              </w:rPr>
              <w:br/>
            </w:r>
            <w:r w:rsidR="00984E6B">
              <w:rPr>
                <w:rFonts w:ascii="Helvetica Neue" w:eastAsia="Helvetica Neue" w:hAnsi="Helvetica Neue" w:cs="Helvetica Neue"/>
                <w:sz w:val="18"/>
                <w:szCs w:val="18"/>
                <w:lang w:val="fr-FR"/>
              </w:rPr>
              <w:t>(1 heure 45 min)</w:t>
            </w:r>
          </w:p>
        </w:tc>
        <w:tc>
          <w:tcPr>
            <w:tcW w:w="1818" w:type="dxa"/>
          </w:tcPr>
          <w:p w14:paraId="3C9A58BD" w14:textId="77777777" w:rsidR="00483A34" w:rsidRDefault="00483A34" w:rsidP="00757760">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Cas cliniques</w:t>
            </w:r>
          </w:p>
        </w:tc>
        <w:tc>
          <w:tcPr>
            <w:tcW w:w="2977" w:type="dxa"/>
          </w:tcPr>
          <w:p w14:paraId="11182F40" w14:textId="7AEA9C7B" w:rsidR="00483A34" w:rsidRDefault="00D36F84" w:rsidP="00945346">
            <w:pPr>
              <w:pStyle w:val="Normal1"/>
              <w:pBdr>
                <w:top w:val="nil"/>
                <w:left w:val="nil"/>
                <w:bottom w:val="nil"/>
                <w:right w:val="nil"/>
                <w:between w:val="nil"/>
              </w:pBdr>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Présentation cas clinique, puis évaluation par jeux de rôle et mise en relation des connaissances avec un cas difficile précédent</w:t>
            </w:r>
          </w:p>
        </w:tc>
        <w:tc>
          <w:tcPr>
            <w:tcW w:w="2410" w:type="dxa"/>
          </w:tcPr>
          <w:p w14:paraId="6A1AB843" w14:textId="77D52E99" w:rsidR="00483A34" w:rsidRDefault="00D36F84" w:rsidP="00945346">
            <w:pPr>
              <w:pStyle w:val="Normal1"/>
              <w:pBdr>
                <w:top w:val="nil"/>
                <w:left w:val="nil"/>
                <w:bottom w:val="nil"/>
                <w:right w:val="nil"/>
                <w:between w:val="nil"/>
              </w:pBdr>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Intégrer l’ensemble des connaissances de la formation à des cas concrets</w:t>
            </w:r>
          </w:p>
        </w:tc>
        <w:tc>
          <w:tcPr>
            <w:tcW w:w="2268" w:type="dxa"/>
          </w:tcPr>
          <w:p w14:paraId="084B1A3D" w14:textId="21C3EAC2" w:rsidR="00483A34" w:rsidRDefault="00D36F84" w:rsidP="00945346">
            <w:pPr>
              <w:pStyle w:val="Normal1"/>
              <w:pBdr>
                <w:top w:val="nil"/>
                <w:left w:val="nil"/>
                <w:bottom w:val="nil"/>
                <w:right w:val="nil"/>
                <w:between w:val="nil"/>
              </w:pBdr>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Evaluation par mise en situation</w:t>
            </w:r>
          </w:p>
        </w:tc>
      </w:tr>
      <w:tr w:rsidR="00483A34" w:rsidRPr="00784FBC" w14:paraId="4A00F152" w14:textId="77777777" w:rsidTr="00A83E0E">
        <w:trPr>
          <w:cnfStyle w:val="000000100000" w:firstRow="0" w:lastRow="0" w:firstColumn="0" w:lastColumn="0" w:oddVBand="0" w:evenVBand="0" w:oddHBand="1" w:evenHBand="0" w:firstRowFirstColumn="0" w:firstRowLastColumn="0" w:lastRowFirstColumn="0" w:lastRowLastColumn="0"/>
        </w:trPr>
        <w:tc>
          <w:tcPr>
            <w:tcW w:w="1584" w:type="dxa"/>
          </w:tcPr>
          <w:p w14:paraId="0A980A5B" w14:textId="0DC35FAB" w:rsidR="00483A34" w:rsidRPr="00543D72" w:rsidRDefault="00483A34" w:rsidP="00757760">
            <w:pPr>
              <w:pStyle w:val="Normal1"/>
              <w:pBdr>
                <w:top w:val="nil"/>
                <w:left w:val="nil"/>
                <w:bottom w:val="nil"/>
                <w:right w:val="nil"/>
                <w:between w:val="nil"/>
              </w:pBdr>
              <w:rPr>
                <w:rFonts w:ascii="Helvetica Neue" w:eastAsia="Helvetica Neue" w:hAnsi="Helvetica Neue" w:cs="Helvetica Neue"/>
                <w:sz w:val="18"/>
                <w:szCs w:val="18"/>
                <w:lang w:val="fr-FR"/>
              </w:rPr>
            </w:pPr>
            <w:r w:rsidRPr="00543D72">
              <w:rPr>
                <w:rFonts w:ascii="Helvetica Neue" w:eastAsia="Helvetica Neue" w:hAnsi="Helvetica Neue" w:cs="Helvetica Neue"/>
                <w:sz w:val="18"/>
                <w:szCs w:val="18"/>
                <w:lang w:val="fr-FR"/>
              </w:rPr>
              <w:t>17h30 – 17h45</w:t>
            </w:r>
            <w:r w:rsidR="00A83E0E">
              <w:rPr>
                <w:rFonts w:ascii="Helvetica Neue" w:eastAsia="Helvetica Neue" w:hAnsi="Helvetica Neue" w:cs="Helvetica Neue"/>
                <w:sz w:val="18"/>
                <w:szCs w:val="18"/>
                <w:lang w:val="fr-FR"/>
              </w:rPr>
              <w:br/>
            </w:r>
            <w:r w:rsidR="00984E6B">
              <w:rPr>
                <w:rFonts w:ascii="Helvetica Neue" w:eastAsia="Helvetica Neue" w:hAnsi="Helvetica Neue" w:cs="Helvetica Neue"/>
                <w:sz w:val="18"/>
                <w:szCs w:val="18"/>
                <w:lang w:val="fr-FR"/>
              </w:rPr>
              <w:t>(15 minutes)</w:t>
            </w:r>
          </w:p>
        </w:tc>
        <w:tc>
          <w:tcPr>
            <w:tcW w:w="1818" w:type="dxa"/>
          </w:tcPr>
          <w:p w14:paraId="05D20653" w14:textId="77777777" w:rsidR="00483A34" w:rsidRPr="00046357" w:rsidRDefault="00483A34" w:rsidP="00757760">
            <w:pPr>
              <w:pStyle w:val="Normal1"/>
              <w:pBdr>
                <w:top w:val="nil"/>
                <w:left w:val="nil"/>
                <w:bottom w:val="nil"/>
                <w:right w:val="nil"/>
                <w:between w:val="nil"/>
              </w:pBdr>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Acquis</w:t>
            </w:r>
          </w:p>
        </w:tc>
        <w:tc>
          <w:tcPr>
            <w:tcW w:w="2977" w:type="dxa"/>
          </w:tcPr>
          <w:p w14:paraId="412AA931" w14:textId="68369DB1" w:rsidR="00483A34" w:rsidRDefault="00D36F84" w:rsidP="00945346">
            <w:pPr>
              <w:pStyle w:val="Normal1"/>
              <w:pBdr>
                <w:top w:val="nil"/>
                <w:left w:val="nil"/>
                <w:bottom w:val="nil"/>
                <w:right w:val="nil"/>
                <w:between w:val="nil"/>
              </w:pBdr>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Discussions</w:t>
            </w:r>
          </w:p>
        </w:tc>
        <w:tc>
          <w:tcPr>
            <w:tcW w:w="2410" w:type="dxa"/>
          </w:tcPr>
          <w:p w14:paraId="1ECD2836" w14:textId="68353910" w:rsidR="00483A34" w:rsidRDefault="00D36F84" w:rsidP="00945346">
            <w:pPr>
              <w:pStyle w:val="Normal1"/>
              <w:pBdr>
                <w:top w:val="nil"/>
                <w:left w:val="nil"/>
                <w:bottom w:val="nil"/>
                <w:right w:val="nil"/>
                <w:between w:val="nil"/>
              </w:pBdr>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Intégration de la formation à la pratique quotidienne et rétention des informations</w:t>
            </w:r>
          </w:p>
        </w:tc>
        <w:tc>
          <w:tcPr>
            <w:tcW w:w="2268" w:type="dxa"/>
          </w:tcPr>
          <w:p w14:paraId="654959A5" w14:textId="07A1FD91" w:rsidR="00483A34" w:rsidRPr="00784FBC" w:rsidRDefault="00D36F84" w:rsidP="00945346">
            <w:pPr>
              <w:pStyle w:val="Normal1"/>
              <w:pBdr>
                <w:top w:val="nil"/>
                <w:left w:val="nil"/>
                <w:bottom w:val="nil"/>
                <w:right w:val="nil"/>
                <w:between w:val="nil"/>
              </w:pBdr>
              <w:ind w:firstLine="280"/>
              <w:rPr>
                <w:rFonts w:ascii="Helvetica Neue" w:eastAsia="Helvetica Neue" w:hAnsi="Helvetica Neue" w:cs="Helvetica Neue"/>
                <w:color w:val="000000"/>
                <w:sz w:val="18"/>
                <w:szCs w:val="18"/>
                <w:lang w:val="fr-FR"/>
              </w:rPr>
            </w:pPr>
            <w:r>
              <w:rPr>
                <w:rFonts w:ascii="Helvetica Neue" w:eastAsia="Helvetica Neue" w:hAnsi="Helvetica Neue" w:cs="Helvetica Neue"/>
                <w:color w:val="000000"/>
                <w:sz w:val="18"/>
                <w:szCs w:val="18"/>
                <w:lang w:val="fr-FR"/>
              </w:rPr>
              <w:t>Non évaluée</w:t>
            </w:r>
          </w:p>
        </w:tc>
      </w:tr>
      <w:tr w:rsidR="00A83E0E" w:rsidRPr="00E046FF" w14:paraId="195ABA0C" w14:textId="77777777" w:rsidTr="00A83E0E">
        <w:tc>
          <w:tcPr>
            <w:tcW w:w="1584" w:type="dxa"/>
            <w:shd w:val="clear" w:color="auto" w:fill="BFBFBF" w:themeFill="background1" w:themeFillShade="BF"/>
          </w:tcPr>
          <w:p w14:paraId="2136C396" w14:textId="77777777" w:rsidR="00A83E0E" w:rsidRPr="00543D72" w:rsidRDefault="00A83E0E" w:rsidP="00757760">
            <w:pPr>
              <w:pStyle w:val="Normal1"/>
              <w:pBdr>
                <w:top w:val="nil"/>
                <w:left w:val="nil"/>
                <w:bottom w:val="nil"/>
                <w:right w:val="nil"/>
                <w:between w:val="nil"/>
              </w:pBdr>
              <w:rPr>
                <w:rFonts w:ascii="Helvetica Neue" w:eastAsia="Helvetica Neue" w:hAnsi="Helvetica Neue" w:cs="Helvetica Neue"/>
                <w:sz w:val="18"/>
                <w:szCs w:val="18"/>
                <w:lang w:val="fr-FR"/>
              </w:rPr>
            </w:pPr>
            <w:r w:rsidRPr="00784FBC">
              <w:rPr>
                <w:rFonts w:ascii="Helvetica Neue" w:eastAsia="Helvetica Neue" w:hAnsi="Helvetica Neue" w:cs="Helvetica Neue"/>
                <w:sz w:val="18"/>
                <w:szCs w:val="18"/>
                <w:lang w:val="fr-FR"/>
              </w:rPr>
              <w:t xml:space="preserve">    </w:t>
            </w:r>
          </w:p>
        </w:tc>
        <w:tc>
          <w:tcPr>
            <w:tcW w:w="9473" w:type="dxa"/>
            <w:gridSpan w:val="4"/>
            <w:shd w:val="clear" w:color="auto" w:fill="BFBFBF" w:themeFill="background1" w:themeFillShade="BF"/>
          </w:tcPr>
          <w:p w14:paraId="32E1BE9F" w14:textId="52801DD3" w:rsidR="00A83E0E" w:rsidRPr="00784FBC" w:rsidRDefault="00A83E0E" w:rsidP="00A83E0E">
            <w:pPr>
              <w:pStyle w:val="Normal1"/>
              <w:pBdr>
                <w:top w:val="nil"/>
                <w:left w:val="nil"/>
                <w:bottom w:val="nil"/>
                <w:right w:val="nil"/>
                <w:between w:val="nil"/>
              </w:pBdr>
              <w:ind w:firstLine="280"/>
              <w:jc w:val="center"/>
              <w:rPr>
                <w:rFonts w:ascii="Helvetica Neue" w:eastAsia="Helvetica Neue" w:hAnsi="Helvetica Neue" w:cs="Helvetica Neue"/>
                <w:color w:val="000000"/>
                <w:sz w:val="18"/>
                <w:szCs w:val="18"/>
                <w:lang w:val="fr-FR"/>
              </w:rPr>
            </w:pPr>
            <w:r w:rsidRPr="00784FBC">
              <w:rPr>
                <w:rFonts w:ascii="Helvetica Neue" w:eastAsia="Helvetica Neue" w:hAnsi="Helvetica Neue" w:cs="Helvetica Neue"/>
                <w:b/>
                <w:color w:val="000000"/>
                <w:sz w:val="18"/>
                <w:szCs w:val="18"/>
                <w:lang w:val="fr-FR"/>
              </w:rPr>
              <w:t>Total (sans les pauses) : 7 heures</w:t>
            </w:r>
            <w:r w:rsidR="00D43D73">
              <w:rPr>
                <w:rFonts w:ascii="Helvetica Neue" w:eastAsia="Helvetica Neue" w:hAnsi="Helvetica Neue" w:cs="Helvetica Neue"/>
                <w:b/>
                <w:color w:val="000000"/>
                <w:sz w:val="18"/>
                <w:szCs w:val="18"/>
                <w:lang w:val="fr-FR"/>
              </w:rPr>
              <w:t xml:space="preserve"> 30</w:t>
            </w:r>
            <w:r w:rsidRPr="00784FBC">
              <w:rPr>
                <w:rFonts w:ascii="Helvetica Neue" w:eastAsia="Helvetica Neue" w:hAnsi="Helvetica Neue" w:cs="Helvetica Neue"/>
                <w:b/>
                <w:color w:val="000000"/>
                <w:sz w:val="18"/>
                <w:szCs w:val="18"/>
                <w:lang w:val="fr-FR"/>
              </w:rPr>
              <w:t xml:space="preserve"> (minimum)</w:t>
            </w:r>
          </w:p>
        </w:tc>
      </w:tr>
    </w:tbl>
    <w:p w14:paraId="0CD3FF0D" w14:textId="77777777" w:rsidR="00CB0A81" w:rsidRPr="00D62BD1" w:rsidRDefault="00833983" w:rsidP="00833983">
      <w:pPr>
        <w:pStyle w:val="Titre1"/>
        <w:rPr>
          <w:lang w:val="fr-FR"/>
        </w:rPr>
      </w:pPr>
      <w:r w:rsidRPr="00D62BD1">
        <w:rPr>
          <w:lang w:val="fr-FR"/>
        </w:rPr>
        <w:lastRenderedPageBreak/>
        <w:t>Bibliographie</w:t>
      </w:r>
    </w:p>
    <w:p w14:paraId="3BEC3F29" w14:textId="77777777" w:rsidR="00CF0948" w:rsidRPr="00CF0948" w:rsidRDefault="00041CC7" w:rsidP="00CF0948">
      <w:pPr>
        <w:widowControl w:val="0"/>
        <w:autoSpaceDE w:val="0"/>
        <w:autoSpaceDN w:val="0"/>
        <w:adjustRightInd w:val="0"/>
        <w:ind w:left="480" w:hanging="480"/>
        <w:rPr>
          <w:noProof/>
        </w:rPr>
      </w:pPr>
      <w:r>
        <w:fldChar w:fldCharType="begin" w:fldLock="1"/>
      </w:r>
      <w:r w:rsidRPr="00D62BD1">
        <w:rPr>
          <w:lang w:val="fr-FR"/>
        </w:rPr>
        <w:instrText xml:space="preserve">ADDIN Mendeley Bibliography CSL_BIBLIOGRAPHY </w:instrText>
      </w:r>
      <w:r>
        <w:fldChar w:fldCharType="separate"/>
      </w:r>
      <w:r w:rsidR="00CF0948" w:rsidRPr="00D62BD1">
        <w:rPr>
          <w:noProof/>
          <w:lang w:val="fr-FR"/>
        </w:rPr>
        <w:t xml:space="preserve">Aasa, B., Berglund, L., Michaelson, P., &amp; Aasa, U. (2015). </w:t>
      </w:r>
      <w:r w:rsidR="00CF0948" w:rsidRPr="00CF0948">
        <w:rPr>
          <w:noProof/>
        </w:rPr>
        <w:t xml:space="preserve">Individualized Low-Load Motor Control Exercises and Education Versus a High-Load Lifting Exercise and Education to Improve Activity, Pain Intensity, and Physical Performance in Patients With Low Back Pain: A Randomized Controlled Trial. </w:t>
      </w:r>
      <w:r w:rsidR="00CF0948" w:rsidRPr="00CF0948">
        <w:rPr>
          <w:i/>
          <w:iCs/>
          <w:noProof/>
        </w:rPr>
        <w:t>Journal of Orthopaedic &amp; Sports Physical Therapy</w:t>
      </w:r>
      <w:r w:rsidR="00CF0948" w:rsidRPr="00CF0948">
        <w:rPr>
          <w:noProof/>
        </w:rPr>
        <w:t xml:space="preserve">, </w:t>
      </w:r>
      <w:r w:rsidR="00CF0948" w:rsidRPr="00CF0948">
        <w:rPr>
          <w:i/>
          <w:iCs/>
          <w:noProof/>
        </w:rPr>
        <w:t>45</w:t>
      </w:r>
      <w:r w:rsidR="00CF0948" w:rsidRPr="00CF0948">
        <w:rPr>
          <w:noProof/>
        </w:rPr>
        <w:t>(2), 77–85. https://doi.org/10.2519/jospt.2015.5021</w:t>
      </w:r>
    </w:p>
    <w:p w14:paraId="713FCC87"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Alsouhibani, A., Vaegter, H. B., &amp; Hoeger Bement, M. (2018). Systemic Exercise-Induced Hypoalgesia Following Isometric Exercise Reduces Conditioned Pain Modulation. </w:t>
      </w:r>
      <w:r w:rsidRPr="00CF0948">
        <w:rPr>
          <w:i/>
          <w:iCs/>
          <w:noProof/>
        </w:rPr>
        <w:t>Pain Medicine</w:t>
      </w:r>
      <w:r w:rsidRPr="00CF0948">
        <w:rPr>
          <w:noProof/>
        </w:rPr>
        <w:t>. https://doi.org/10.1093/pm/pny057</w:t>
      </w:r>
    </w:p>
    <w:p w14:paraId="37963F92"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Anchisi, D., &amp; Zanon, M. (2015). A Bayesian Perspective on Sensory and Cognitive Integration in Pain Perception and Placebo Analgesia. </w:t>
      </w:r>
      <w:r w:rsidRPr="00CF0948">
        <w:rPr>
          <w:i/>
          <w:iCs/>
          <w:noProof/>
        </w:rPr>
        <w:t>PLOS ONE</w:t>
      </w:r>
      <w:r w:rsidRPr="00CF0948">
        <w:rPr>
          <w:noProof/>
        </w:rPr>
        <w:t xml:space="preserve">, </w:t>
      </w:r>
      <w:r w:rsidRPr="00CF0948">
        <w:rPr>
          <w:i/>
          <w:iCs/>
          <w:noProof/>
        </w:rPr>
        <w:t>10</w:t>
      </w:r>
      <w:r w:rsidRPr="00CF0948">
        <w:rPr>
          <w:noProof/>
        </w:rPr>
        <w:t>(2), e0117270. https://doi.org/10.1371/journal.pone.0117270</w:t>
      </w:r>
    </w:p>
    <w:p w14:paraId="1A118681"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Artus, M., van der Windt, D. A., Jordan, K. P., &amp; Hay, E. M. (2010). Low back pain symptoms show a similar pattern of improvement following a wide range of primary care treatments: A systematic review of randomized clinical trials. </w:t>
      </w:r>
      <w:r w:rsidRPr="00CF0948">
        <w:rPr>
          <w:i/>
          <w:iCs/>
          <w:noProof/>
        </w:rPr>
        <w:t>Rheumatology</w:t>
      </w:r>
      <w:r w:rsidRPr="00CF0948">
        <w:rPr>
          <w:noProof/>
        </w:rPr>
        <w:t xml:space="preserve">, </w:t>
      </w:r>
      <w:r w:rsidRPr="00CF0948">
        <w:rPr>
          <w:i/>
          <w:iCs/>
          <w:noProof/>
        </w:rPr>
        <w:t>49</w:t>
      </w:r>
      <w:r w:rsidRPr="00CF0948">
        <w:rPr>
          <w:noProof/>
        </w:rPr>
        <w:t>(12), 2346–2356. https://doi.org/10.1093/rheumatology/keq245</w:t>
      </w:r>
    </w:p>
    <w:p w14:paraId="2D61BAC3"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Artus, M., van der Windt, D., Jordan, K. P., &amp; Croft, P. R. (2014). The clinical course of low back pain: a meta-analysis comparing outcomes in randomised clinical trials (RCTs) and observational studies. </w:t>
      </w:r>
      <w:r w:rsidRPr="00CF0948">
        <w:rPr>
          <w:i/>
          <w:iCs/>
          <w:noProof/>
        </w:rPr>
        <w:t>BMC Musculoskeletal Disorders</w:t>
      </w:r>
      <w:r w:rsidRPr="00CF0948">
        <w:rPr>
          <w:noProof/>
        </w:rPr>
        <w:t xml:space="preserve">, </w:t>
      </w:r>
      <w:r w:rsidRPr="00CF0948">
        <w:rPr>
          <w:i/>
          <w:iCs/>
          <w:noProof/>
        </w:rPr>
        <w:t>15</w:t>
      </w:r>
      <w:r w:rsidRPr="00CF0948">
        <w:rPr>
          <w:noProof/>
        </w:rPr>
        <w:t>, 68. https://doi.org/10.1186/1471-2474-15-68</w:t>
      </w:r>
    </w:p>
    <w:p w14:paraId="194691A6"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Barker, K. L., Reid, M., &amp; Lowe, C. J. M. (2009). Divided by a lack of common language? - a qualitative study exploring the use of language by health professionals treating back pain. </w:t>
      </w:r>
      <w:r w:rsidRPr="00CF0948">
        <w:rPr>
          <w:i/>
          <w:iCs/>
          <w:noProof/>
        </w:rPr>
        <w:t>BMC Musculoskeletal Disorders 2009 10:1</w:t>
      </w:r>
      <w:r w:rsidRPr="00CF0948">
        <w:rPr>
          <w:noProof/>
        </w:rPr>
        <w:t xml:space="preserve">, </w:t>
      </w:r>
      <w:r w:rsidRPr="00CF0948">
        <w:rPr>
          <w:i/>
          <w:iCs/>
          <w:noProof/>
        </w:rPr>
        <w:t>10</w:t>
      </w:r>
      <w:r w:rsidRPr="00CF0948">
        <w:rPr>
          <w:noProof/>
        </w:rPr>
        <w:t>(1), 123. https://doi.org/10.1186/1471-2474-10-123</w:t>
      </w:r>
    </w:p>
    <w:p w14:paraId="434E59BB"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Bingel, U., Wanigasekera, V., Wiech, K., Ni Mhuircheartaigh, R., Lee, M. C., Ploner, M., &amp; Tracey, I. (2011). The Effect of Treatment Expectation on Drug Efficacy: Imaging the Analgesic Benefit of the Opioid Remifentanil. </w:t>
      </w:r>
      <w:r w:rsidRPr="00CF0948">
        <w:rPr>
          <w:i/>
          <w:iCs/>
          <w:noProof/>
        </w:rPr>
        <w:t>Science Translational Medicine</w:t>
      </w:r>
      <w:r w:rsidRPr="00CF0948">
        <w:rPr>
          <w:noProof/>
        </w:rPr>
        <w:t xml:space="preserve">, </w:t>
      </w:r>
      <w:r w:rsidRPr="00CF0948">
        <w:rPr>
          <w:i/>
          <w:iCs/>
          <w:noProof/>
        </w:rPr>
        <w:t>3</w:t>
      </w:r>
      <w:r w:rsidRPr="00CF0948">
        <w:rPr>
          <w:noProof/>
        </w:rPr>
        <w:t>(70), 70ra14-70ra14. https://doi.org/10.1126/scitranslmed.3001244</w:t>
      </w:r>
    </w:p>
    <w:p w14:paraId="2FD53F44"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Bonnar, D., Bartel, K., Kakoschke, N., &amp; Lang, C. (2018). Sleep Interventions Designed to Improve Athletic Performance and Recovery: A Systematic Review of Current Approaches. </w:t>
      </w:r>
      <w:r w:rsidRPr="00CF0948">
        <w:rPr>
          <w:i/>
          <w:iCs/>
          <w:noProof/>
        </w:rPr>
        <w:t>Sports Medicine</w:t>
      </w:r>
      <w:r w:rsidRPr="00CF0948">
        <w:rPr>
          <w:noProof/>
        </w:rPr>
        <w:t xml:space="preserve">, </w:t>
      </w:r>
      <w:r w:rsidRPr="00CF0948">
        <w:rPr>
          <w:i/>
          <w:iCs/>
          <w:noProof/>
        </w:rPr>
        <w:t>48</w:t>
      </w:r>
      <w:r w:rsidRPr="00CF0948">
        <w:rPr>
          <w:noProof/>
        </w:rPr>
        <w:t>(3), 683–703. https://doi.org/10.1007/s40279-017-0832-x</w:t>
      </w:r>
    </w:p>
    <w:p w14:paraId="22E8CF7F"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Bossmann, T., Brauner, T., Wearing, S., &amp; Horstmann, T. (2017). Predictors of chronic pain following total knee replacement in females and males: an exploratory study. </w:t>
      </w:r>
      <w:r w:rsidRPr="00CF0948">
        <w:rPr>
          <w:i/>
          <w:iCs/>
          <w:noProof/>
        </w:rPr>
        <w:t>Pain Management</w:t>
      </w:r>
      <w:r w:rsidRPr="00CF0948">
        <w:rPr>
          <w:noProof/>
        </w:rPr>
        <w:t xml:space="preserve">, </w:t>
      </w:r>
      <w:r w:rsidRPr="00CF0948">
        <w:rPr>
          <w:i/>
          <w:iCs/>
          <w:noProof/>
        </w:rPr>
        <w:t>7</w:t>
      </w:r>
      <w:r w:rsidRPr="00CF0948">
        <w:rPr>
          <w:noProof/>
        </w:rPr>
        <w:t>(5), 391–403. https://doi.org/10.2217/pmt-2017-0023</w:t>
      </w:r>
    </w:p>
    <w:p w14:paraId="586D1307"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Branney, J., &amp; Breen, A. C. (2014). Does inter-vertebral range of motion increase after spinal manipulation? A prospective cohort study. </w:t>
      </w:r>
      <w:r w:rsidRPr="00CF0948">
        <w:rPr>
          <w:i/>
          <w:iCs/>
          <w:noProof/>
        </w:rPr>
        <w:t>Chiropractic &amp; Manual Therapies</w:t>
      </w:r>
      <w:r w:rsidRPr="00CF0948">
        <w:rPr>
          <w:noProof/>
        </w:rPr>
        <w:t xml:space="preserve">, </w:t>
      </w:r>
      <w:r w:rsidRPr="00CF0948">
        <w:rPr>
          <w:i/>
          <w:iCs/>
          <w:noProof/>
        </w:rPr>
        <w:t>22</w:t>
      </w:r>
      <w:r w:rsidRPr="00CF0948">
        <w:rPr>
          <w:noProof/>
        </w:rPr>
        <w:t>(1), 24. https://doi.org/10.1186/s12998-014-0024-9</w:t>
      </w:r>
    </w:p>
    <w:p w14:paraId="6B7FCFDA"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Brodal, P. (2017). Topical review A neurobiologist’s attempt to understand persistent pain. </w:t>
      </w:r>
      <w:r w:rsidRPr="00CF0948">
        <w:rPr>
          <w:i/>
          <w:iCs/>
          <w:noProof/>
        </w:rPr>
        <w:t>Scandinavian Journal of Pain</w:t>
      </w:r>
      <w:r w:rsidRPr="00CF0948">
        <w:rPr>
          <w:noProof/>
        </w:rPr>
        <w:t xml:space="preserve">, </w:t>
      </w:r>
      <w:r w:rsidRPr="00CF0948">
        <w:rPr>
          <w:i/>
          <w:iCs/>
          <w:noProof/>
        </w:rPr>
        <w:t>15</w:t>
      </w:r>
      <w:r w:rsidRPr="00CF0948">
        <w:rPr>
          <w:noProof/>
        </w:rPr>
        <w:t>, 140–147. https://doi.org/10.1016/j.sjpain.2017.03.002</w:t>
      </w:r>
    </w:p>
    <w:p w14:paraId="2155D602"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Cathcart, S., Winefield, A. H., Rolan, P., &amp; Lushington, K. (2009). Reliability of temporal summation and diffuse noxious inhibitory control. </w:t>
      </w:r>
      <w:r w:rsidRPr="00CF0948">
        <w:rPr>
          <w:i/>
          <w:iCs/>
          <w:noProof/>
        </w:rPr>
        <w:t>Pain Research &amp; Management</w:t>
      </w:r>
      <w:r w:rsidRPr="00CF0948">
        <w:rPr>
          <w:noProof/>
        </w:rPr>
        <w:t xml:space="preserve">, </w:t>
      </w:r>
      <w:r w:rsidRPr="00CF0948">
        <w:rPr>
          <w:i/>
          <w:iCs/>
          <w:noProof/>
        </w:rPr>
        <w:t>14</w:t>
      </w:r>
      <w:r w:rsidRPr="00CF0948">
        <w:rPr>
          <w:noProof/>
        </w:rPr>
        <w:t>(6), 433–438. Retrieved from http://www.ncbi.nlm.nih.gov/pubmed/20011713</w:t>
      </w:r>
    </w:p>
    <w:p w14:paraId="74FFCF48"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Cerritelli, F., Chiacchiaretta, P., Gambi, F., &amp; Ferretti, A. (2017). Effect of Continuous Touch on Brain Functional Connectivity Is Modified by the Operator’s Tactile Attention. </w:t>
      </w:r>
      <w:r w:rsidRPr="00CF0948">
        <w:rPr>
          <w:i/>
          <w:iCs/>
          <w:noProof/>
        </w:rPr>
        <w:t>Frontiers in Human Neuroscience</w:t>
      </w:r>
      <w:r w:rsidRPr="00CF0948">
        <w:rPr>
          <w:noProof/>
        </w:rPr>
        <w:t xml:space="preserve">, </w:t>
      </w:r>
      <w:r w:rsidRPr="00CF0948">
        <w:rPr>
          <w:i/>
          <w:iCs/>
          <w:noProof/>
        </w:rPr>
        <w:t>11</w:t>
      </w:r>
      <w:r w:rsidRPr="00CF0948">
        <w:rPr>
          <w:noProof/>
        </w:rPr>
        <w:t>, 368. https://doi.org/10.3389/fnhum.2017.00368</w:t>
      </w:r>
    </w:p>
    <w:p w14:paraId="14C00514"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Chen, L. M. (2018). Cortical Representation of Pain and Touch: Evidence from Combined Functional Neuroimaging and Electrophysiology in Non-human Primates. </w:t>
      </w:r>
      <w:r w:rsidRPr="00CF0948">
        <w:rPr>
          <w:i/>
          <w:iCs/>
          <w:noProof/>
        </w:rPr>
        <w:t xml:space="preserve">Neuroscience </w:t>
      </w:r>
      <w:r w:rsidRPr="00CF0948">
        <w:rPr>
          <w:i/>
          <w:iCs/>
          <w:noProof/>
        </w:rPr>
        <w:lastRenderedPageBreak/>
        <w:t>Bulletin</w:t>
      </w:r>
      <w:r w:rsidRPr="00CF0948">
        <w:rPr>
          <w:noProof/>
        </w:rPr>
        <w:t xml:space="preserve">, </w:t>
      </w:r>
      <w:r w:rsidRPr="00CF0948">
        <w:rPr>
          <w:i/>
          <w:iCs/>
          <w:noProof/>
        </w:rPr>
        <w:t>34</w:t>
      </w:r>
      <w:r w:rsidRPr="00CF0948">
        <w:rPr>
          <w:noProof/>
        </w:rPr>
        <w:t>(1), 165–177. https://doi.org/10.1007/s12264-017-0133-2</w:t>
      </w:r>
    </w:p>
    <w:p w14:paraId="258F96ED"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Chester, R., Jerosch-Herold, C., Lewis, J., &amp; Shepstone, L. (2016). Psychological factors are associated with the outcome of physiotherapy for people with shoulder pain: a multicentre longitudinal cohort study. </w:t>
      </w:r>
      <w:r w:rsidRPr="00CF0948">
        <w:rPr>
          <w:i/>
          <w:iCs/>
          <w:noProof/>
        </w:rPr>
        <w:t>British Journal of Sports Medicine</w:t>
      </w:r>
      <w:r w:rsidRPr="00CF0948">
        <w:rPr>
          <w:noProof/>
        </w:rPr>
        <w:t>, bjsports-2016-096084. https://doi.org/10.1136/bjsports-2016-096084</w:t>
      </w:r>
    </w:p>
    <w:p w14:paraId="109DC097"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Chovatiya, R., &amp; Medzhitov, R. (2014). Stress, Inflammation, and Defense of Homeostasis. </w:t>
      </w:r>
      <w:r w:rsidRPr="00CF0948">
        <w:rPr>
          <w:i/>
          <w:iCs/>
          <w:noProof/>
        </w:rPr>
        <w:t>Molecular Cell</w:t>
      </w:r>
      <w:r w:rsidRPr="00CF0948">
        <w:rPr>
          <w:noProof/>
        </w:rPr>
        <w:t xml:space="preserve">, </w:t>
      </w:r>
      <w:r w:rsidRPr="00CF0948">
        <w:rPr>
          <w:i/>
          <w:iCs/>
          <w:noProof/>
        </w:rPr>
        <w:t>54</w:t>
      </w:r>
      <w:r w:rsidRPr="00CF0948">
        <w:rPr>
          <w:noProof/>
        </w:rPr>
        <w:t>(2), 281. https://doi.org/10.1016/j.molcel.2014.03.030</w:t>
      </w:r>
    </w:p>
    <w:p w14:paraId="0EF22711"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Colombo, M., Elkin, L., &amp; Hartmann, S. (2018). Being Realist about Bayes, and the Predictive Processing Theory of Mind. </w:t>
      </w:r>
      <w:r w:rsidRPr="00CF0948">
        <w:rPr>
          <w:i/>
          <w:iCs/>
          <w:noProof/>
        </w:rPr>
        <w:t>The British Journal for the Philosophy of Science</w:t>
      </w:r>
      <w:r w:rsidRPr="00CF0948">
        <w:rPr>
          <w:noProof/>
        </w:rPr>
        <w:t>. https://doi.org/10.1093/bjps/axy059</w:t>
      </w:r>
    </w:p>
    <w:p w14:paraId="7AD17237"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Coronado, R. A., &amp; George, S. Z. (2018). The Central Sensitization Inventory and Pain Sensitivity Questionnaire: An exploration of construct validity and associations with widespread pain sensitivity among individuals with shoulder pain. </w:t>
      </w:r>
      <w:r w:rsidRPr="00CF0948">
        <w:rPr>
          <w:i/>
          <w:iCs/>
          <w:noProof/>
        </w:rPr>
        <w:t>Musculoskeletal Science and Practice</w:t>
      </w:r>
      <w:r w:rsidRPr="00CF0948">
        <w:rPr>
          <w:noProof/>
        </w:rPr>
        <w:t xml:space="preserve">, </w:t>
      </w:r>
      <w:r w:rsidRPr="00CF0948">
        <w:rPr>
          <w:i/>
          <w:iCs/>
          <w:noProof/>
        </w:rPr>
        <w:t>36</w:t>
      </w:r>
      <w:r w:rsidRPr="00CF0948">
        <w:rPr>
          <w:noProof/>
        </w:rPr>
        <w:t>, 61–67. https://doi.org/10.1016/j.msksp.2018.04.009</w:t>
      </w:r>
    </w:p>
    <w:p w14:paraId="5017AD47"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Cuenca, J. J. A., Pecos-Martín, D., Martínez-Merinero, P., Lluch, E., Nijs, J., Meeus, M., … Fernandez-Carnero, J. (2019). How Much Is Needed? Comparison of the Effectiveness of Different Pain Education Dosages in Patients with Fibromyalgia. </w:t>
      </w:r>
      <w:r w:rsidRPr="00CF0948">
        <w:rPr>
          <w:i/>
          <w:iCs/>
          <w:noProof/>
        </w:rPr>
        <w:t>Pain Medicine</w:t>
      </w:r>
      <w:r w:rsidRPr="00CF0948">
        <w:rPr>
          <w:noProof/>
        </w:rPr>
        <w:t>. https://doi.org/10.1093/pm/pnz069</w:t>
      </w:r>
    </w:p>
    <w:p w14:paraId="375F5C07"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Cuff, A., &amp; Littlewood, C. (2018). Subacromial impingement syndrome – What does this mean to and for the patient? A qualitative study. </w:t>
      </w:r>
      <w:r w:rsidRPr="00CF0948">
        <w:rPr>
          <w:i/>
          <w:iCs/>
          <w:noProof/>
        </w:rPr>
        <w:t>Musculoskeletal Science and Practice</w:t>
      </w:r>
      <w:r w:rsidRPr="00CF0948">
        <w:rPr>
          <w:noProof/>
        </w:rPr>
        <w:t xml:space="preserve">, </w:t>
      </w:r>
      <w:r w:rsidRPr="00CF0948">
        <w:rPr>
          <w:i/>
          <w:iCs/>
          <w:noProof/>
        </w:rPr>
        <w:t>33</w:t>
      </w:r>
      <w:r w:rsidRPr="00CF0948">
        <w:rPr>
          <w:noProof/>
        </w:rPr>
        <w:t>, 24–28. https://doi.org/10.1016/J.MSKSP.2017.10.008</w:t>
      </w:r>
    </w:p>
    <w:p w14:paraId="605A4D36" w14:textId="77777777" w:rsidR="00CF0948" w:rsidRPr="00CF0948" w:rsidRDefault="00CF0948" w:rsidP="00CF0948">
      <w:pPr>
        <w:widowControl w:val="0"/>
        <w:autoSpaceDE w:val="0"/>
        <w:autoSpaceDN w:val="0"/>
        <w:adjustRightInd w:val="0"/>
        <w:ind w:left="480" w:hanging="480"/>
        <w:rPr>
          <w:noProof/>
        </w:rPr>
      </w:pPr>
      <w:r w:rsidRPr="00D62BD1">
        <w:rPr>
          <w:noProof/>
          <w:lang w:val="fr-FR"/>
        </w:rPr>
        <w:t xml:space="preserve">Da Silva Santos, R., &amp; Galdino, G. (2018). </w:t>
      </w:r>
      <w:r w:rsidRPr="00CF0948">
        <w:rPr>
          <w:noProof/>
        </w:rPr>
        <w:t xml:space="preserve">Endogenous systems involved in exercise-induced analgesia. </w:t>
      </w:r>
      <w:r w:rsidRPr="00CF0948">
        <w:rPr>
          <w:i/>
          <w:iCs/>
          <w:noProof/>
        </w:rPr>
        <w:t>Journal of Physiology and Pharmacology : An Official Journal of the Polish Physiological Society</w:t>
      </w:r>
      <w:r w:rsidRPr="00CF0948">
        <w:rPr>
          <w:noProof/>
        </w:rPr>
        <w:t xml:space="preserve">, </w:t>
      </w:r>
      <w:r w:rsidRPr="00CF0948">
        <w:rPr>
          <w:i/>
          <w:iCs/>
          <w:noProof/>
        </w:rPr>
        <w:t>69</w:t>
      </w:r>
      <w:r w:rsidRPr="00CF0948">
        <w:rPr>
          <w:noProof/>
        </w:rPr>
        <w:t>(1), 3–13. https://doi.org/10.26402/jpp.2018.1.01</w:t>
      </w:r>
    </w:p>
    <w:p w14:paraId="0350F433"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Di Lernia, D., Serino, S., &amp; Riva, G. (2016). Pain in the body. Altered interoception in chronic pain conditions: A systematic review. </w:t>
      </w:r>
      <w:r w:rsidRPr="00CF0948">
        <w:rPr>
          <w:i/>
          <w:iCs/>
          <w:noProof/>
        </w:rPr>
        <w:t>Neuroscience &amp; Biobehavioral Reviews</w:t>
      </w:r>
      <w:r w:rsidRPr="00CF0948">
        <w:rPr>
          <w:noProof/>
        </w:rPr>
        <w:t xml:space="preserve">, </w:t>
      </w:r>
      <w:r w:rsidRPr="00CF0948">
        <w:rPr>
          <w:i/>
          <w:iCs/>
          <w:noProof/>
        </w:rPr>
        <w:t>71</w:t>
      </w:r>
      <w:r w:rsidRPr="00CF0948">
        <w:rPr>
          <w:noProof/>
        </w:rPr>
        <w:t>, 328–341. https://doi.org/10.1016/J.NEUBIOREV.2016.09.015</w:t>
      </w:r>
    </w:p>
    <w:p w14:paraId="53B50B5D"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Drew, B. T., Smith, T. O., Littlewood, C., &amp; Sturrock, B. (2014). Do structural changes (eg, collagen/matrix) explain the response to therapeutic exercises in tendinopathy: a systematic review. </w:t>
      </w:r>
      <w:r w:rsidRPr="00CF0948">
        <w:rPr>
          <w:i/>
          <w:iCs/>
          <w:noProof/>
        </w:rPr>
        <w:t>British Journal of Sports Medicine</w:t>
      </w:r>
      <w:r w:rsidRPr="00CF0948">
        <w:rPr>
          <w:noProof/>
        </w:rPr>
        <w:t xml:space="preserve">, </w:t>
      </w:r>
      <w:r w:rsidRPr="00CF0948">
        <w:rPr>
          <w:i/>
          <w:iCs/>
          <w:noProof/>
        </w:rPr>
        <w:t>48</w:t>
      </w:r>
      <w:r w:rsidRPr="00CF0948">
        <w:rPr>
          <w:noProof/>
        </w:rPr>
        <w:t>(12), 966–972. https://doi.org/10.1136/bjsports-2012-091285</w:t>
      </w:r>
    </w:p>
    <w:p w14:paraId="6381C986"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Dunn, W. R., Kuhn, J. E., Sanders, R., An, Q., Baumgarten, K. M., Bishop, J. Y., … Wright, R. W. (2016). 2013 Neer Award: predictors of failure of nonoperative treatment of chronic, symptomatic, full-thickness rotator cuff tears. </w:t>
      </w:r>
      <w:r w:rsidRPr="00CF0948">
        <w:rPr>
          <w:i/>
          <w:iCs/>
          <w:noProof/>
        </w:rPr>
        <w:t>Journal of Shoulder and Elbow Surgery</w:t>
      </w:r>
      <w:r w:rsidRPr="00CF0948">
        <w:rPr>
          <w:noProof/>
        </w:rPr>
        <w:t xml:space="preserve">, </w:t>
      </w:r>
      <w:r w:rsidRPr="00CF0948">
        <w:rPr>
          <w:i/>
          <w:iCs/>
          <w:noProof/>
        </w:rPr>
        <w:t>25</w:t>
      </w:r>
      <w:r w:rsidRPr="00CF0948">
        <w:rPr>
          <w:noProof/>
        </w:rPr>
        <w:t>(8), 1303–1311. https://doi.org/10.1016/j.jse.2016.04.030</w:t>
      </w:r>
    </w:p>
    <w:p w14:paraId="051D0940"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Edwards, R. R., Dworkin, R. H., Sullivan, M. D., Turk, D. C., &amp; Wasan, A. D. (2016). The Role of Psychosocial Processes in the Development and Maintenance of Chronic Pain. </w:t>
      </w:r>
      <w:r w:rsidRPr="00CF0948">
        <w:rPr>
          <w:i/>
          <w:iCs/>
          <w:noProof/>
        </w:rPr>
        <w:t>Journal of Pain</w:t>
      </w:r>
      <w:r w:rsidRPr="00CF0948">
        <w:rPr>
          <w:noProof/>
        </w:rPr>
        <w:t>. https://doi.org/10.1016/j.jpain.2016.01.001</w:t>
      </w:r>
    </w:p>
    <w:p w14:paraId="45F8A17C"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Eller-Smith, O. C., Nicol, A. L., &amp; Christianson, J. A. (2018). Potential Mechanisms Underlying Centralized Pain and Emerging Therapeutic Interventions. </w:t>
      </w:r>
      <w:r w:rsidRPr="00CF0948">
        <w:rPr>
          <w:i/>
          <w:iCs/>
          <w:noProof/>
        </w:rPr>
        <w:t>Frontiers in Cellular Neuroscience</w:t>
      </w:r>
      <w:r w:rsidRPr="00CF0948">
        <w:rPr>
          <w:noProof/>
        </w:rPr>
        <w:t xml:space="preserve">, </w:t>
      </w:r>
      <w:r w:rsidRPr="00CF0948">
        <w:rPr>
          <w:i/>
          <w:iCs/>
          <w:noProof/>
        </w:rPr>
        <w:t>12</w:t>
      </w:r>
      <w:r w:rsidRPr="00CF0948">
        <w:rPr>
          <w:noProof/>
        </w:rPr>
        <w:t>, 35. https://doi.org/10.3389/fncel.2018.00035</w:t>
      </w:r>
    </w:p>
    <w:p w14:paraId="6E57E597"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Fardo, F., Auksztulewicz, R., Allen, M., Dietz, M. J., Roepstorff, A., &amp; Friston, K. J. (2017). Expectation violation and attention to pain jointly modulate neural gain in somatosensory cortex. </w:t>
      </w:r>
      <w:r w:rsidRPr="00CF0948">
        <w:rPr>
          <w:i/>
          <w:iCs/>
          <w:noProof/>
        </w:rPr>
        <w:t>NeuroImage</w:t>
      </w:r>
      <w:r w:rsidRPr="00CF0948">
        <w:rPr>
          <w:noProof/>
        </w:rPr>
        <w:t xml:space="preserve">, </w:t>
      </w:r>
      <w:r w:rsidRPr="00CF0948">
        <w:rPr>
          <w:i/>
          <w:iCs/>
          <w:noProof/>
        </w:rPr>
        <w:t>153</w:t>
      </w:r>
      <w:r w:rsidRPr="00CF0948">
        <w:rPr>
          <w:noProof/>
        </w:rPr>
        <w:t>, 109–121. https://doi.org/10.1016/j.neuroimage.2017.03.041</w:t>
      </w:r>
    </w:p>
    <w:p w14:paraId="3D0FC000"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Finan, P. H., Goodin, B. R., &amp; Smith, M. T. (2013). The association of sleep and pain: An update and a path forward. </w:t>
      </w:r>
      <w:r w:rsidRPr="00CF0948">
        <w:rPr>
          <w:i/>
          <w:iCs/>
          <w:noProof/>
        </w:rPr>
        <w:t>The Journal of Pain : Official Journal of the American Pain Society</w:t>
      </w:r>
      <w:r w:rsidRPr="00CF0948">
        <w:rPr>
          <w:noProof/>
        </w:rPr>
        <w:t xml:space="preserve">, </w:t>
      </w:r>
      <w:r w:rsidRPr="00CF0948">
        <w:rPr>
          <w:i/>
          <w:iCs/>
          <w:noProof/>
        </w:rPr>
        <w:t>14</w:t>
      </w:r>
      <w:r w:rsidRPr="00CF0948">
        <w:rPr>
          <w:noProof/>
        </w:rPr>
        <w:t>(12), 1539. https://doi.org/10.1016/j.jpain.2013.08.007</w:t>
      </w:r>
    </w:p>
    <w:p w14:paraId="20459A71"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Fisher, J. P., Hassan, D. T., &amp; O’Connor, N. (1995). Minerva. </w:t>
      </w:r>
      <w:r w:rsidRPr="00CF0948">
        <w:rPr>
          <w:i/>
          <w:iCs/>
          <w:noProof/>
        </w:rPr>
        <w:t>BMJ</w:t>
      </w:r>
      <w:r w:rsidRPr="00CF0948">
        <w:rPr>
          <w:noProof/>
        </w:rPr>
        <w:t xml:space="preserve">, </w:t>
      </w:r>
      <w:r w:rsidRPr="00CF0948">
        <w:rPr>
          <w:i/>
          <w:iCs/>
          <w:noProof/>
        </w:rPr>
        <w:t>310</w:t>
      </w:r>
      <w:r w:rsidRPr="00CF0948">
        <w:rPr>
          <w:noProof/>
        </w:rPr>
        <w:t>(6971), 70–70. https://doi.org/10.1136/bmj.310.6971.70</w:t>
      </w:r>
    </w:p>
    <w:p w14:paraId="29429DBF" w14:textId="77777777" w:rsidR="00CF0948" w:rsidRPr="00CF0948" w:rsidRDefault="00CF0948" w:rsidP="00CF0948">
      <w:pPr>
        <w:widowControl w:val="0"/>
        <w:autoSpaceDE w:val="0"/>
        <w:autoSpaceDN w:val="0"/>
        <w:adjustRightInd w:val="0"/>
        <w:ind w:left="480" w:hanging="480"/>
        <w:rPr>
          <w:noProof/>
        </w:rPr>
      </w:pPr>
      <w:r w:rsidRPr="00CF0948">
        <w:rPr>
          <w:noProof/>
        </w:rPr>
        <w:lastRenderedPageBreak/>
        <w:t xml:space="preserve">Foster, E., Wildner, H., Tudeau, L., Haueter, S., Ralvenius, W. T., Jegen, M., … Zeilhofer, H. U. (2015). Targeted ablation, silencing, and activation establish glycinergic dorsal horn neurons as key components of a spinal gate for pain and itch. </w:t>
      </w:r>
      <w:r w:rsidRPr="00CF0948">
        <w:rPr>
          <w:i/>
          <w:iCs/>
          <w:noProof/>
        </w:rPr>
        <w:t>Neuron</w:t>
      </w:r>
      <w:r w:rsidRPr="00CF0948">
        <w:rPr>
          <w:noProof/>
        </w:rPr>
        <w:t xml:space="preserve">, </w:t>
      </w:r>
      <w:r w:rsidRPr="00CF0948">
        <w:rPr>
          <w:i/>
          <w:iCs/>
          <w:noProof/>
        </w:rPr>
        <w:t>85</w:t>
      </w:r>
      <w:r w:rsidRPr="00CF0948">
        <w:rPr>
          <w:noProof/>
        </w:rPr>
        <w:t>(6), 1289–1304. https://doi.org/10.1016/j.neuron.2015.02.028</w:t>
      </w:r>
    </w:p>
    <w:p w14:paraId="7BAA60CE"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Gerhardt, A., Eich, W., Janke, S., Leisner, S., Treede, R.-D., &amp; Tesarz, J. (2016). Chronic Widespread Back Pain is Distinct From Chronic Local Back Pain. </w:t>
      </w:r>
      <w:r w:rsidRPr="00CF0948">
        <w:rPr>
          <w:i/>
          <w:iCs/>
          <w:noProof/>
        </w:rPr>
        <w:t>The Clinical Journal of Pain</w:t>
      </w:r>
      <w:r w:rsidRPr="00CF0948">
        <w:rPr>
          <w:noProof/>
        </w:rPr>
        <w:t xml:space="preserve">, </w:t>
      </w:r>
      <w:r w:rsidRPr="00CF0948">
        <w:rPr>
          <w:i/>
          <w:iCs/>
          <w:noProof/>
        </w:rPr>
        <w:t>32</w:t>
      </w:r>
      <w:r w:rsidRPr="00CF0948">
        <w:rPr>
          <w:noProof/>
        </w:rPr>
        <w:t>(7), 568–579. https://doi.org/10.1097/AJP.0000000000000300</w:t>
      </w:r>
    </w:p>
    <w:p w14:paraId="5250B66C"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Gervais-Hupé, J., Pollice, J., Sadi, J., &amp; Carlesso, L. C. (2018). Validity of the central sensitization inventory with measures of sensitization in people with knee osteoarthritis. </w:t>
      </w:r>
      <w:r w:rsidRPr="00CF0948">
        <w:rPr>
          <w:i/>
          <w:iCs/>
          <w:noProof/>
        </w:rPr>
        <w:t>Clinical Rheumatology</w:t>
      </w:r>
      <w:r w:rsidRPr="00CF0948">
        <w:rPr>
          <w:noProof/>
        </w:rPr>
        <w:t xml:space="preserve">, </w:t>
      </w:r>
      <w:r w:rsidRPr="00CF0948">
        <w:rPr>
          <w:i/>
          <w:iCs/>
          <w:noProof/>
        </w:rPr>
        <w:t>37</w:t>
      </w:r>
      <w:r w:rsidRPr="00CF0948">
        <w:rPr>
          <w:noProof/>
        </w:rPr>
        <w:t>(11), 3125–3132. https://doi.org/10.1007/s10067-018-4279-8</w:t>
      </w:r>
    </w:p>
    <w:p w14:paraId="7D73232C"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Goldberg, P., Zeppieri, G., Bialosky, J., Bocchino, C., van den Boogaard, J., Tillman, S., &amp; Chmielewski, T. L. (2017). Kinesiophobia and Its Association With Health-Related Quality of Life Across Injury Locations. </w:t>
      </w:r>
      <w:r w:rsidRPr="00CF0948">
        <w:rPr>
          <w:i/>
          <w:iCs/>
          <w:noProof/>
        </w:rPr>
        <w:t>Archives of Physical Medicine and Rehabilitation</w:t>
      </w:r>
      <w:r w:rsidRPr="00CF0948">
        <w:rPr>
          <w:noProof/>
        </w:rPr>
        <w:t>. https://doi.org/10.1016/j.apmr.2017.06.023</w:t>
      </w:r>
    </w:p>
    <w:p w14:paraId="45195C4D"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Haack, M., Simpson, N., Sethna, N., Kaur, S., &amp; Mullington, J. (2019). Sleep deficiency and chronic pain: potential underlying mechanisms and clinical implications. </w:t>
      </w:r>
      <w:r w:rsidRPr="00CF0948">
        <w:rPr>
          <w:i/>
          <w:iCs/>
          <w:noProof/>
        </w:rPr>
        <w:t>Neuropsychopharmacology 2019</w:t>
      </w:r>
      <w:r w:rsidRPr="00CF0948">
        <w:rPr>
          <w:noProof/>
        </w:rPr>
        <w:t>, 1. https://doi.org/10.1038/s41386-019-0439-z</w:t>
      </w:r>
    </w:p>
    <w:p w14:paraId="78F6BFA0"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Hageman, D., van den Houten, M. M., Spruijt, S., Gommans, L. N., Scheltinga, M. R., &amp; Teijink, J. A. (2017). Supervised exercise therapy: it does work, but how to set up a program? </w:t>
      </w:r>
      <w:r w:rsidRPr="00CF0948">
        <w:rPr>
          <w:i/>
          <w:iCs/>
          <w:noProof/>
        </w:rPr>
        <w:t>The Journal of Cardiovascular Surgery</w:t>
      </w:r>
      <w:r w:rsidRPr="00CF0948">
        <w:rPr>
          <w:noProof/>
        </w:rPr>
        <w:t xml:space="preserve">, </w:t>
      </w:r>
      <w:r w:rsidRPr="00CF0948">
        <w:rPr>
          <w:i/>
          <w:iCs/>
          <w:noProof/>
        </w:rPr>
        <w:t>58</w:t>
      </w:r>
      <w:r w:rsidRPr="00CF0948">
        <w:rPr>
          <w:noProof/>
        </w:rPr>
        <w:t>(2), 305–312. https://doi.org/10.23736/S0021-9509.16.09825-6</w:t>
      </w:r>
    </w:p>
    <w:p w14:paraId="2D224C2C"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Harte, S. E., Harris, R. E., &amp; Clauw, D. J. (2018). The neurobiology of central sensitization. </w:t>
      </w:r>
      <w:r w:rsidRPr="00CF0948">
        <w:rPr>
          <w:i/>
          <w:iCs/>
          <w:noProof/>
        </w:rPr>
        <w:t>Journal of Applied Biobehavioral Research</w:t>
      </w:r>
      <w:r w:rsidRPr="00CF0948">
        <w:rPr>
          <w:noProof/>
        </w:rPr>
        <w:t xml:space="preserve">, </w:t>
      </w:r>
      <w:r w:rsidRPr="00CF0948">
        <w:rPr>
          <w:i/>
          <w:iCs/>
          <w:noProof/>
        </w:rPr>
        <w:t>23</w:t>
      </w:r>
      <w:r w:rsidRPr="00CF0948">
        <w:rPr>
          <w:noProof/>
        </w:rPr>
        <w:t>(2), e12137. https://doi.org/10.1111/jabr.12137</w:t>
      </w:r>
    </w:p>
    <w:p w14:paraId="17D0EEF5"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Herbert, M. S., Goodin, B. R., Pero, S. T., Schmidt, J. K., Sotolongo, A., Bulls, H. W., … Fillingim, R. B. (2014). Pain hypervigilance is associated with greater clinical pain severity and enhanced experimental pain sensitivity among adults with symptomatic knee osteoarthritis. </w:t>
      </w:r>
      <w:r w:rsidRPr="00CF0948">
        <w:rPr>
          <w:i/>
          <w:iCs/>
          <w:noProof/>
        </w:rPr>
        <w:t>Annals of Behavioral Medicine : A Publication of the Society of Behavioral Medicine</w:t>
      </w:r>
      <w:r w:rsidRPr="00CF0948">
        <w:rPr>
          <w:noProof/>
        </w:rPr>
        <w:t xml:space="preserve">, </w:t>
      </w:r>
      <w:r w:rsidRPr="00CF0948">
        <w:rPr>
          <w:i/>
          <w:iCs/>
          <w:noProof/>
        </w:rPr>
        <w:t>48</w:t>
      </w:r>
      <w:r w:rsidRPr="00CF0948">
        <w:rPr>
          <w:noProof/>
        </w:rPr>
        <w:t>(1), 50–60. https://doi.org/10.1007/s12160-013-9563-x</w:t>
      </w:r>
    </w:p>
    <w:p w14:paraId="456BDE9B"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Howick, J., Moscrop, A., Mebius, A., Fanshawe, T. R., Lewith, G., Bishop, F. L., … Onakpoya, I. J. (2018). Effects of empathic and positive communication in healthcare consultations: a systematic review and meta-analysis. </w:t>
      </w:r>
      <w:r w:rsidRPr="00CF0948">
        <w:rPr>
          <w:i/>
          <w:iCs/>
          <w:noProof/>
        </w:rPr>
        <w:t>Journal of the Royal Society of Medicine</w:t>
      </w:r>
      <w:r w:rsidRPr="00CF0948">
        <w:rPr>
          <w:noProof/>
        </w:rPr>
        <w:t xml:space="preserve">, </w:t>
      </w:r>
      <w:r w:rsidRPr="00CF0948">
        <w:rPr>
          <w:i/>
          <w:iCs/>
          <w:noProof/>
        </w:rPr>
        <w:t>111</w:t>
      </w:r>
      <w:r w:rsidRPr="00CF0948">
        <w:rPr>
          <w:noProof/>
        </w:rPr>
        <w:t>(7), 240–252. https://doi.org/10.1177/0141076818769477</w:t>
      </w:r>
    </w:p>
    <w:p w14:paraId="5647C396" w14:textId="77777777" w:rsidR="00CF0948" w:rsidRPr="00CF0948" w:rsidRDefault="00CF0948" w:rsidP="00CF0948">
      <w:pPr>
        <w:widowControl w:val="0"/>
        <w:autoSpaceDE w:val="0"/>
        <w:autoSpaceDN w:val="0"/>
        <w:adjustRightInd w:val="0"/>
        <w:ind w:left="480" w:hanging="480"/>
        <w:rPr>
          <w:noProof/>
        </w:rPr>
      </w:pPr>
      <w:r w:rsidRPr="00CF0948">
        <w:rPr>
          <w:noProof/>
        </w:rPr>
        <w:t>International Association for the Study of Pain. (n.d.). IASP Terminology. Retrieved June 30, 2019, from https://www.iasp-pain.org/terminology?navItemNumber=576#Nociception</w:t>
      </w:r>
    </w:p>
    <w:p w14:paraId="1A27452F"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Irwin, M. R., Olmstead, R., &amp; Carroll, J. E. (2016). Sleep Disturbance, Sleep Duration, and Inflammation: A Systematic Review and Meta-Analysis of Cohort Studies and Experimental Sleep Deprivation. </w:t>
      </w:r>
      <w:r w:rsidRPr="00CF0948">
        <w:rPr>
          <w:i/>
          <w:iCs/>
          <w:noProof/>
        </w:rPr>
        <w:t>Biological Psychiatry</w:t>
      </w:r>
      <w:r w:rsidRPr="00CF0948">
        <w:rPr>
          <w:noProof/>
        </w:rPr>
        <w:t xml:space="preserve">, </w:t>
      </w:r>
      <w:r w:rsidRPr="00CF0948">
        <w:rPr>
          <w:i/>
          <w:iCs/>
          <w:noProof/>
        </w:rPr>
        <w:t>80</w:t>
      </w:r>
      <w:r w:rsidRPr="00CF0948">
        <w:rPr>
          <w:noProof/>
        </w:rPr>
        <w:t>(1), 40–52. https://doi.org/10.1016/j.biopsych.2015.05.014</w:t>
      </w:r>
    </w:p>
    <w:p w14:paraId="6F95E0EE"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Jackson, T., Wang, Y., Wang, Y., &amp; Fan, H. (2014). Self-Efficacy and Chronic Pain Outcomes: A Meta-Analytic Review. </w:t>
      </w:r>
      <w:r w:rsidRPr="00CF0948">
        <w:rPr>
          <w:i/>
          <w:iCs/>
          <w:noProof/>
        </w:rPr>
        <w:t>The Journal of Pain</w:t>
      </w:r>
      <w:r w:rsidRPr="00CF0948">
        <w:rPr>
          <w:noProof/>
        </w:rPr>
        <w:t xml:space="preserve">, </w:t>
      </w:r>
      <w:r w:rsidRPr="00CF0948">
        <w:rPr>
          <w:i/>
          <w:iCs/>
          <w:noProof/>
        </w:rPr>
        <w:t>15</w:t>
      </w:r>
      <w:r w:rsidRPr="00CF0948">
        <w:rPr>
          <w:noProof/>
        </w:rPr>
        <w:t>(8), 800–814. https://doi.org/10.1016/J.JPAIN.2014.05.002</w:t>
      </w:r>
    </w:p>
    <w:p w14:paraId="63E307E4"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Jay, K., Brandt, M., Jakobsen, M. D., Sundstrup, E., Berthelsen, K. G., schraefel,  mc, … Andersen, L. L. (2016). Ten weeks of physical-cognitive-mindfulness training reduces fear-avoidance beliefs about work-related activity. </w:t>
      </w:r>
      <w:r w:rsidRPr="00CF0948">
        <w:rPr>
          <w:i/>
          <w:iCs/>
          <w:noProof/>
        </w:rPr>
        <w:t>Medicine</w:t>
      </w:r>
      <w:r w:rsidRPr="00CF0948">
        <w:rPr>
          <w:noProof/>
        </w:rPr>
        <w:t xml:space="preserve">, </w:t>
      </w:r>
      <w:r w:rsidRPr="00CF0948">
        <w:rPr>
          <w:i/>
          <w:iCs/>
          <w:noProof/>
        </w:rPr>
        <w:t>95</w:t>
      </w:r>
      <w:r w:rsidRPr="00CF0948">
        <w:rPr>
          <w:noProof/>
        </w:rPr>
        <w:t>(34), e3945. https://doi.org/10.1097/MD.0000000000003945</w:t>
      </w:r>
    </w:p>
    <w:p w14:paraId="17B2925E"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Jones, M. D., Taylor, J. L., &amp; Barry, B. K. (2017). Occlusion of blood flow attenuates exercise-induced hypoalgesia in the occluded limb of healthy adults. </w:t>
      </w:r>
      <w:r w:rsidRPr="00CF0948">
        <w:rPr>
          <w:i/>
          <w:iCs/>
          <w:noProof/>
        </w:rPr>
        <w:t>Journal of Applied Physiology</w:t>
      </w:r>
      <w:r w:rsidRPr="00CF0948">
        <w:rPr>
          <w:noProof/>
        </w:rPr>
        <w:t xml:space="preserve">, </w:t>
      </w:r>
      <w:r w:rsidRPr="00CF0948">
        <w:rPr>
          <w:i/>
          <w:iCs/>
          <w:noProof/>
        </w:rPr>
        <w:t>122</w:t>
      </w:r>
      <w:r w:rsidRPr="00CF0948">
        <w:rPr>
          <w:noProof/>
        </w:rPr>
        <w:t>(5), 1284–1291. https://doi.org/10.1152/japplphysiol.01004.2016</w:t>
      </w:r>
    </w:p>
    <w:p w14:paraId="38A5E023" w14:textId="77777777" w:rsidR="00CF0948" w:rsidRPr="00CF0948" w:rsidRDefault="00CF0948" w:rsidP="00CF0948">
      <w:pPr>
        <w:widowControl w:val="0"/>
        <w:autoSpaceDE w:val="0"/>
        <w:autoSpaceDN w:val="0"/>
        <w:adjustRightInd w:val="0"/>
        <w:ind w:left="480" w:hanging="480"/>
        <w:rPr>
          <w:noProof/>
        </w:rPr>
      </w:pPr>
      <w:r w:rsidRPr="00CF0948">
        <w:rPr>
          <w:noProof/>
        </w:rPr>
        <w:lastRenderedPageBreak/>
        <w:t xml:space="preserve">Keedy, N. H., Keffala, V. J., Altmaier, E. M., &amp; Chen, J. J. (2014). Health locus of control and self-efficacy predict back pain rehabilitation outcomes. </w:t>
      </w:r>
      <w:r w:rsidRPr="00CF0948">
        <w:rPr>
          <w:i/>
          <w:iCs/>
          <w:noProof/>
        </w:rPr>
        <w:t>The Iowa Orthopaedic Journal</w:t>
      </w:r>
      <w:r w:rsidRPr="00CF0948">
        <w:rPr>
          <w:noProof/>
        </w:rPr>
        <w:t xml:space="preserve">, </w:t>
      </w:r>
      <w:r w:rsidRPr="00CF0948">
        <w:rPr>
          <w:i/>
          <w:iCs/>
          <w:noProof/>
        </w:rPr>
        <w:t>34</w:t>
      </w:r>
      <w:r w:rsidRPr="00CF0948">
        <w:rPr>
          <w:noProof/>
        </w:rPr>
        <w:t>, 158–165. Retrieved from http://www.ncbi.nlm.nih.gov/pubmed/25328476</w:t>
      </w:r>
    </w:p>
    <w:p w14:paraId="4E947D33"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Kennedy, D. L., Kemp, H. I., Ridout, D., Yarnitsky, D., &amp; Rice, A. S. C. (2016). Reliability of conditioned pain modulation: a systematic review. </w:t>
      </w:r>
      <w:r w:rsidRPr="00CF0948">
        <w:rPr>
          <w:i/>
          <w:iCs/>
          <w:noProof/>
        </w:rPr>
        <w:t>Pain</w:t>
      </w:r>
      <w:r w:rsidRPr="00CF0948">
        <w:rPr>
          <w:noProof/>
        </w:rPr>
        <w:t xml:space="preserve">, </w:t>
      </w:r>
      <w:r w:rsidRPr="00CF0948">
        <w:rPr>
          <w:i/>
          <w:iCs/>
          <w:noProof/>
        </w:rPr>
        <w:t>157</w:t>
      </w:r>
      <w:r w:rsidRPr="00CF0948">
        <w:rPr>
          <w:noProof/>
        </w:rPr>
        <w:t>(11), 2410–2419. https://doi.org/10.1097/j.pain.0000000000000689</w:t>
      </w:r>
    </w:p>
    <w:p w14:paraId="3193E93E"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Kim, J., Kang, I., Chung, Y.-A., Kim, T.-S., Namgung, E., Lee, S., … Yoon, S. (2018). Altered attentional control over the salience network in complex regional pain syndrome. </w:t>
      </w:r>
      <w:r w:rsidRPr="00CF0948">
        <w:rPr>
          <w:i/>
          <w:iCs/>
          <w:noProof/>
        </w:rPr>
        <w:t>Scientific Reports</w:t>
      </w:r>
      <w:r w:rsidRPr="00CF0948">
        <w:rPr>
          <w:noProof/>
        </w:rPr>
        <w:t xml:space="preserve">, </w:t>
      </w:r>
      <w:r w:rsidRPr="00CF0948">
        <w:rPr>
          <w:i/>
          <w:iCs/>
          <w:noProof/>
        </w:rPr>
        <w:t>8</w:t>
      </w:r>
      <w:r w:rsidRPr="00CF0948">
        <w:rPr>
          <w:noProof/>
        </w:rPr>
        <w:t>(1), 7466. https://doi.org/10.1038/s41598-018-25757-2</w:t>
      </w:r>
    </w:p>
    <w:p w14:paraId="1267AF97"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Kongsted, A., Vach, W., Axø, M., Bech, R. N., &amp; Hestbaek, L. (2014). Expectation of Recovery From Low Back Pain. </w:t>
      </w:r>
      <w:r w:rsidRPr="00CF0948">
        <w:rPr>
          <w:i/>
          <w:iCs/>
          <w:noProof/>
        </w:rPr>
        <w:t>Spine</w:t>
      </w:r>
      <w:r w:rsidRPr="00CF0948">
        <w:rPr>
          <w:noProof/>
        </w:rPr>
        <w:t xml:space="preserve">, </w:t>
      </w:r>
      <w:r w:rsidRPr="00CF0948">
        <w:rPr>
          <w:i/>
          <w:iCs/>
          <w:noProof/>
        </w:rPr>
        <w:t>39</w:t>
      </w:r>
      <w:r w:rsidRPr="00CF0948">
        <w:rPr>
          <w:noProof/>
        </w:rPr>
        <w:t>(1), 81–90. https://doi.org/10.1097/BRS.0000000000000059</w:t>
      </w:r>
    </w:p>
    <w:p w14:paraId="2EC7F2F2" w14:textId="77777777" w:rsidR="00CF0948" w:rsidRPr="00D62BD1" w:rsidRDefault="00CF0948" w:rsidP="00CF0948">
      <w:pPr>
        <w:widowControl w:val="0"/>
        <w:autoSpaceDE w:val="0"/>
        <w:autoSpaceDN w:val="0"/>
        <w:adjustRightInd w:val="0"/>
        <w:ind w:left="480" w:hanging="480"/>
        <w:rPr>
          <w:noProof/>
          <w:lang w:val="fr-FR"/>
        </w:rPr>
      </w:pPr>
      <w:r w:rsidRPr="00CF0948">
        <w:rPr>
          <w:noProof/>
        </w:rPr>
        <w:t xml:space="preserve">Krause, A. J., Prather, A. A., Wager, T. D., Lindquist, M. A., Walker, M. P., Kumar, S., … Gupta, J. (2019). The pain of sleep loss: A brain characterization in humans The pain of sleep loss: 1 A brain characterization in humans. </w:t>
      </w:r>
      <w:r w:rsidRPr="00D62BD1">
        <w:rPr>
          <w:i/>
          <w:iCs/>
          <w:noProof/>
          <w:lang w:val="fr-FR"/>
        </w:rPr>
        <w:t>Cite as: J. Neurosci</w:t>
      </w:r>
      <w:r w:rsidRPr="00D62BD1">
        <w:rPr>
          <w:noProof/>
          <w:lang w:val="fr-FR"/>
        </w:rPr>
        <w:t>. https://doi.org/10.1523/JNEUROSCI.2408-18.2018</w:t>
      </w:r>
    </w:p>
    <w:p w14:paraId="47C00581" w14:textId="77777777" w:rsidR="00CF0948" w:rsidRPr="00CF0948" w:rsidRDefault="00CF0948" w:rsidP="00CF0948">
      <w:pPr>
        <w:widowControl w:val="0"/>
        <w:autoSpaceDE w:val="0"/>
        <w:autoSpaceDN w:val="0"/>
        <w:adjustRightInd w:val="0"/>
        <w:ind w:left="480" w:hanging="480"/>
        <w:rPr>
          <w:noProof/>
        </w:rPr>
      </w:pPr>
      <w:r w:rsidRPr="00D62BD1">
        <w:rPr>
          <w:noProof/>
          <w:lang w:val="fr-FR"/>
        </w:rPr>
        <w:t xml:space="preserve">Kucyi, A., &amp; Davis, K. D. (2015). </w:t>
      </w:r>
      <w:r w:rsidRPr="00CF0948">
        <w:rPr>
          <w:noProof/>
        </w:rPr>
        <w:t xml:space="preserve">The dynamic pain connectome. </w:t>
      </w:r>
      <w:r w:rsidRPr="00CF0948">
        <w:rPr>
          <w:i/>
          <w:iCs/>
          <w:noProof/>
        </w:rPr>
        <w:t>Trends in Neurosciences</w:t>
      </w:r>
      <w:r w:rsidRPr="00CF0948">
        <w:rPr>
          <w:noProof/>
        </w:rPr>
        <w:t xml:space="preserve">, </w:t>
      </w:r>
      <w:r w:rsidRPr="00CF0948">
        <w:rPr>
          <w:i/>
          <w:iCs/>
          <w:noProof/>
        </w:rPr>
        <w:t>38</w:t>
      </w:r>
      <w:r w:rsidRPr="00CF0948">
        <w:rPr>
          <w:noProof/>
        </w:rPr>
        <w:t>(2), 86–95. https://doi.org/10.1016/j.tins.2014.11.006</w:t>
      </w:r>
    </w:p>
    <w:p w14:paraId="2CA00CAB"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Lannersten, L., &amp; Kosek, E. (2010). Dysfunction of endogenous pain inhibition during exercise with painful muscles in patients with shoulder myalgia and fibromyalgia. </w:t>
      </w:r>
      <w:r w:rsidRPr="00CF0948">
        <w:rPr>
          <w:i/>
          <w:iCs/>
          <w:noProof/>
        </w:rPr>
        <w:t>Pain</w:t>
      </w:r>
      <w:r w:rsidRPr="00CF0948">
        <w:rPr>
          <w:noProof/>
        </w:rPr>
        <w:t xml:space="preserve">, </w:t>
      </w:r>
      <w:r w:rsidRPr="00CF0948">
        <w:rPr>
          <w:i/>
          <w:iCs/>
          <w:noProof/>
        </w:rPr>
        <w:t>151</w:t>
      </w:r>
      <w:r w:rsidRPr="00CF0948">
        <w:rPr>
          <w:noProof/>
        </w:rPr>
        <w:t>(1), 77–86. https://doi.org/10.1016/j.pain.2010.06.021</w:t>
      </w:r>
    </w:p>
    <w:p w14:paraId="1312B7B1"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Lautenbacher, S. (2017). Sleep and pain are definitely coupled – but how tight is this coupling? </w:t>
      </w:r>
      <w:r w:rsidRPr="00CF0948">
        <w:rPr>
          <w:i/>
          <w:iCs/>
          <w:noProof/>
        </w:rPr>
        <w:t>PAIN</w:t>
      </w:r>
      <w:r w:rsidRPr="00CF0948">
        <w:rPr>
          <w:noProof/>
        </w:rPr>
        <w:t>, 1. https://doi.org/10.1097/j.pain.0000000000001082</w:t>
      </w:r>
    </w:p>
    <w:p w14:paraId="501DC449"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Lautenbacher, S., Huber, C., Kunz, M., Parthum, A., Weber, P. G., Griessinger, N., &amp; Sittl, R. (2009). Hypervigilance as Predictor of Postoperative Acute Pain: Its Predictive Potency Compared With Experimental Pain Sensitivity, Cortisol Reactivity, and Affective State. </w:t>
      </w:r>
      <w:r w:rsidRPr="00CF0948">
        <w:rPr>
          <w:i/>
          <w:iCs/>
          <w:noProof/>
        </w:rPr>
        <w:t>The Clinical Journal of Pain</w:t>
      </w:r>
      <w:r w:rsidRPr="00CF0948">
        <w:rPr>
          <w:noProof/>
        </w:rPr>
        <w:t xml:space="preserve">, </w:t>
      </w:r>
      <w:r w:rsidRPr="00CF0948">
        <w:rPr>
          <w:i/>
          <w:iCs/>
          <w:noProof/>
        </w:rPr>
        <w:t>25</w:t>
      </w:r>
      <w:r w:rsidRPr="00CF0948">
        <w:rPr>
          <w:noProof/>
        </w:rPr>
        <w:t>(2), 92–100. https://doi.org/10.1097/AJP.0b013e3181850dce</w:t>
      </w:r>
    </w:p>
    <w:p w14:paraId="21000D32"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Lee, H., Mansell, G., McAuley, J. H., Kamper, S. J., Hübscher, M., Moseley, G. L., … Williams, C. M. (2016). Causal mechanisms in the clinical course and treatment of back pain. </w:t>
      </w:r>
      <w:r w:rsidRPr="00CF0948">
        <w:rPr>
          <w:i/>
          <w:iCs/>
          <w:noProof/>
        </w:rPr>
        <w:t>Best Practice and Research: Clinical Rheumatology</w:t>
      </w:r>
      <w:r w:rsidRPr="00CF0948">
        <w:rPr>
          <w:noProof/>
        </w:rPr>
        <w:t xml:space="preserve">, </w:t>
      </w:r>
      <w:r w:rsidRPr="00CF0948">
        <w:rPr>
          <w:i/>
          <w:iCs/>
          <w:noProof/>
        </w:rPr>
        <w:t>30</w:t>
      </w:r>
      <w:r w:rsidRPr="00CF0948">
        <w:rPr>
          <w:noProof/>
        </w:rPr>
        <w:t>(6), 1074–1083. https://doi.org/10.1016/j.berh.2017.04.001</w:t>
      </w:r>
    </w:p>
    <w:p w14:paraId="1A07077D" w14:textId="77777777" w:rsidR="00CF0948" w:rsidRPr="00CF0948" w:rsidRDefault="00CF0948" w:rsidP="00CF0948">
      <w:pPr>
        <w:widowControl w:val="0"/>
        <w:autoSpaceDE w:val="0"/>
        <w:autoSpaceDN w:val="0"/>
        <w:adjustRightInd w:val="0"/>
        <w:ind w:left="480" w:hanging="480"/>
        <w:rPr>
          <w:noProof/>
        </w:rPr>
      </w:pPr>
      <w:r w:rsidRPr="00D62BD1">
        <w:rPr>
          <w:noProof/>
          <w:lang w:val="fr-FR"/>
        </w:rPr>
        <w:t xml:space="preserve">Legrain, V., Iannetti, G. D., Plaghki, L., &amp; Mouraux, A. (2011). </w:t>
      </w:r>
      <w:r w:rsidRPr="00CF0948">
        <w:rPr>
          <w:noProof/>
        </w:rPr>
        <w:t xml:space="preserve">The pain matrix reloaded: A salience detection system for the body. </w:t>
      </w:r>
      <w:r w:rsidRPr="00CF0948">
        <w:rPr>
          <w:i/>
          <w:iCs/>
          <w:noProof/>
        </w:rPr>
        <w:t>Progress in Neurobiology</w:t>
      </w:r>
      <w:r w:rsidRPr="00CF0948">
        <w:rPr>
          <w:noProof/>
        </w:rPr>
        <w:t xml:space="preserve">, </w:t>
      </w:r>
      <w:r w:rsidRPr="00CF0948">
        <w:rPr>
          <w:i/>
          <w:iCs/>
          <w:noProof/>
        </w:rPr>
        <w:t>93</w:t>
      </w:r>
      <w:r w:rsidRPr="00CF0948">
        <w:rPr>
          <w:noProof/>
        </w:rPr>
        <w:t>(1), 111–124. https://doi.org/10.1016/J.PNEUROBIO.2010.10.005</w:t>
      </w:r>
    </w:p>
    <w:p w14:paraId="1AB71576"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Liberati, G., Klöcker, A., Safronova, M. M., Ferrão Santos, S., Ribeiro Vaz, J.-G., Raftopoulos, C., &amp; Mouraux, A. (2016). Nociceptive Local Field Potentials Recorded from the Human Insula Are Not Specific for Nociception. </w:t>
      </w:r>
      <w:r w:rsidRPr="00CF0948">
        <w:rPr>
          <w:i/>
          <w:iCs/>
          <w:noProof/>
        </w:rPr>
        <w:t>PLOS Biology</w:t>
      </w:r>
      <w:r w:rsidRPr="00CF0948">
        <w:rPr>
          <w:noProof/>
        </w:rPr>
        <w:t xml:space="preserve">, </w:t>
      </w:r>
      <w:r w:rsidRPr="00CF0948">
        <w:rPr>
          <w:i/>
          <w:iCs/>
          <w:noProof/>
        </w:rPr>
        <w:t>14</w:t>
      </w:r>
      <w:r w:rsidRPr="00CF0948">
        <w:rPr>
          <w:noProof/>
        </w:rPr>
        <w:t>(1), e1002345. https://doi.org/10.1371/journal.pbio.1002345</w:t>
      </w:r>
    </w:p>
    <w:p w14:paraId="7CBF1B8B"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López-de-Uralde-Villanueva, I., Muñoz-García, D., Gil-Martínez, A., Pardo-Montero, J., Muñoz-Plata, R., Angulo-Díaz-Parreño, S., … La Touche, R. (2015). A Systematic Review and Meta-Analysis on the Effectiveness of Graded Activity and Graded Exposure for Chronic Nonspecific Low Back Pain. </w:t>
      </w:r>
      <w:r w:rsidRPr="00CF0948">
        <w:rPr>
          <w:i/>
          <w:iCs/>
          <w:noProof/>
        </w:rPr>
        <w:t>Pain Medicine</w:t>
      </w:r>
      <w:r w:rsidRPr="00CF0948">
        <w:rPr>
          <w:noProof/>
        </w:rPr>
        <w:t xml:space="preserve">, </w:t>
      </w:r>
      <w:r w:rsidRPr="00CF0948">
        <w:rPr>
          <w:i/>
          <w:iCs/>
          <w:noProof/>
        </w:rPr>
        <w:t>17</w:t>
      </w:r>
      <w:r w:rsidRPr="00CF0948">
        <w:rPr>
          <w:noProof/>
        </w:rPr>
        <w:t>(1), n/a-n/a. https://doi.org/10.1111/pme.12882</w:t>
      </w:r>
    </w:p>
    <w:p w14:paraId="4A908EDE"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Mallows, A., Debenham, J., Walker, T., &amp; Littlewood, C. (2017). Association of psychological variables and outcome in tendinopathy: a systematic review. </w:t>
      </w:r>
      <w:r w:rsidRPr="00CF0948">
        <w:rPr>
          <w:i/>
          <w:iCs/>
          <w:noProof/>
        </w:rPr>
        <w:t>Br J Sports Med</w:t>
      </w:r>
      <w:r w:rsidRPr="00CF0948">
        <w:rPr>
          <w:noProof/>
        </w:rPr>
        <w:t xml:space="preserve">, </w:t>
      </w:r>
      <w:r w:rsidRPr="00CF0948">
        <w:rPr>
          <w:i/>
          <w:iCs/>
          <w:noProof/>
        </w:rPr>
        <w:t>51</w:t>
      </w:r>
      <w:r w:rsidRPr="00CF0948">
        <w:rPr>
          <w:noProof/>
        </w:rPr>
        <w:t>(9), 743–748. https://doi.org/10.1136/bjsports-2016-096154</w:t>
      </w:r>
    </w:p>
    <w:p w14:paraId="26C5BFBB"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Mannion, A. F., Caporaso, F., Pulkovski, N., &amp; Sprott, H. (2012). Spine stabilisation exercises in the treatment of chronic low back pain: a good clinical outcome is not associated with improved abdominal muscle function. </w:t>
      </w:r>
      <w:r w:rsidRPr="00CF0948">
        <w:rPr>
          <w:i/>
          <w:iCs/>
          <w:noProof/>
        </w:rPr>
        <w:t xml:space="preserve">European Spine Journal : Official Publication </w:t>
      </w:r>
      <w:r w:rsidRPr="00CF0948">
        <w:rPr>
          <w:i/>
          <w:iCs/>
          <w:noProof/>
        </w:rPr>
        <w:lastRenderedPageBreak/>
        <w:t>of the European Spine Society, the European Spinal Deformity Society, and the European Section of the Cervical Spine Research Society</w:t>
      </w:r>
      <w:r w:rsidRPr="00CF0948">
        <w:rPr>
          <w:noProof/>
        </w:rPr>
        <w:t xml:space="preserve">, </w:t>
      </w:r>
      <w:r w:rsidRPr="00CF0948">
        <w:rPr>
          <w:i/>
          <w:iCs/>
          <w:noProof/>
        </w:rPr>
        <w:t>21</w:t>
      </w:r>
      <w:r w:rsidRPr="00CF0948">
        <w:rPr>
          <w:noProof/>
        </w:rPr>
        <w:t>(7), 1301–1310. https://doi.org/10.1007/s00586-012-2155-9</w:t>
      </w:r>
    </w:p>
    <w:p w14:paraId="0B591DB0"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Melzack, R., &amp; Katz, J. (2013). Pain. </w:t>
      </w:r>
      <w:r w:rsidRPr="00CF0948">
        <w:rPr>
          <w:i/>
          <w:iCs/>
          <w:noProof/>
        </w:rPr>
        <w:t>Wiley Interdisciplinary Reviews: Cognitive Science</w:t>
      </w:r>
      <w:r w:rsidRPr="00CF0948">
        <w:rPr>
          <w:noProof/>
        </w:rPr>
        <w:t xml:space="preserve">, </w:t>
      </w:r>
      <w:r w:rsidRPr="00CF0948">
        <w:rPr>
          <w:i/>
          <w:iCs/>
          <w:noProof/>
        </w:rPr>
        <w:t>4</w:t>
      </w:r>
      <w:r w:rsidRPr="00CF0948">
        <w:rPr>
          <w:noProof/>
        </w:rPr>
        <w:t>(1), 1–15. https://doi.org/10.1002/wcs.1201</w:t>
      </w:r>
    </w:p>
    <w:p w14:paraId="74D4979D"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Michaelson, P., Holmberg, D., Aasa, B., &amp; Aasa, U. (2016). High load lifting exercise and low load motor control exercises as interventions for patients with mechanical low back pain: A randomized controlled trial with 24-month follow-up. </w:t>
      </w:r>
      <w:r w:rsidRPr="00CF0948">
        <w:rPr>
          <w:i/>
          <w:iCs/>
          <w:noProof/>
        </w:rPr>
        <w:t>Journal of Rehabilitation Medicine</w:t>
      </w:r>
      <w:r w:rsidRPr="00CF0948">
        <w:rPr>
          <w:noProof/>
        </w:rPr>
        <w:t xml:space="preserve">, </w:t>
      </w:r>
      <w:r w:rsidRPr="00CF0948">
        <w:rPr>
          <w:i/>
          <w:iCs/>
          <w:noProof/>
        </w:rPr>
        <w:t>48</w:t>
      </w:r>
      <w:r w:rsidRPr="00CF0948">
        <w:rPr>
          <w:noProof/>
        </w:rPr>
        <w:t>(5), 456–463. https://doi.org/10.2340/16501977-2091</w:t>
      </w:r>
    </w:p>
    <w:p w14:paraId="1AC96876"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Misra, G., Paris, T. A., Archer, D. B., &amp; Coombes, S. A. (2014). Dose-Response Effect of Isometric Force Production on the Perception of Pain. </w:t>
      </w:r>
      <w:r w:rsidRPr="00CF0948">
        <w:rPr>
          <w:i/>
          <w:iCs/>
          <w:noProof/>
        </w:rPr>
        <w:t>PLoS ONE</w:t>
      </w:r>
      <w:r w:rsidRPr="00CF0948">
        <w:rPr>
          <w:noProof/>
        </w:rPr>
        <w:t xml:space="preserve">, </w:t>
      </w:r>
      <w:r w:rsidRPr="00CF0948">
        <w:rPr>
          <w:i/>
          <w:iCs/>
          <w:noProof/>
        </w:rPr>
        <w:t>9</w:t>
      </w:r>
      <w:r w:rsidRPr="00CF0948">
        <w:rPr>
          <w:noProof/>
        </w:rPr>
        <w:t>(2), e88105. https://doi.org/10.1371/journal.pone.0088105</w:t>
      </w:r>
    </w:p>
    <w:p w14:paraId="3BB92540"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Moseley, G. L., &amp; Butler, D. S. (David S. (n.d.). </w:t>
      </w:r>
      <w:r w:rsidRPr="00CF0948">
        <w:rPr>
          <w:i/>
          <w:iCs/>
          <w:noProof/>
        </w:rPr>
        <w:t>Explain pain supercharged : the clinician’s manual</w:t>
      </w:r>
      <w:r w:rsidRPr="00CF0948">
        <w:rPr>
          <w:noProof/>
        </w:rPr>
        <w:t>. Retrieved from https://www.noigroupshop.nl/a-47578823/home/explain-pain-supercharged/</w:t>
      </w:r>
    </w:p>
    <w:p w14:paraId="48D6CC6F"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Mothes, H., Leukel, C., Jo, H. G., Seelig, H., Schmidt, S., &amp; Fuchs, R. (2017). Expectations affect psychological and neurophysiological benefits even after a single bout of exercise. </w:t>
      </w:r>
      <w:r w:rsidRPr="00CF0948">
        <w:rPr>
          <w:i/>
          <w:iCs/>
          <w:noProof/>
        </w:rPr>
        <w:t>Journal of Behavioral Medicine</w:t>
      </w:r>
      <w:r w:rsidRPr="00CF0948">
        <w:rPr>
          <w:noProof/>
        </w:rPr>
        <w:t xml:space="preserve">, </w:t>
      </w:r>
      <w:r w:rsidRPr="00CF0948">
        <w:rPr>
          <w:i/>
          <w:iCs/>
          <w:noProof/>
        </w:rPr>
        <w:t>40</w:t>
      </w:r>
      <w:r w:rsidRPr="00CF0948">
        <w:rPr>
          <w:noProof/>
        </w:rPr>
        <w:t>(2), 293–306. https://doi.org/10.1007/s10865-016-9781-3</w:t>
      </w:r>
    </w:p>
    <w:p w14:paraId="736DA366"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O’Leary, H., Smart, K. M., Moloney, N. A., &amp; Doody, C. M. (2017). Nervous System Sensitization as a Predictor of Outcome in the Treatment of Peripheral Musculoskeletal Conditions: A Systematic Review. </w:t>
      </w:r>
      <w:r w:rsidRPr="00CF0948">
        <w:rPr>
          <w:i/>
          <w:iCs/>
          <w:noProof/>
        </w:rPr>
        <w:t>Pain Practice</w:t>
      </w:r>
      <w:r w:rsidRPr="00CF0948">
        <w:rPr>
          <w:noProof/>
        </w:rPr>
        <w:t xml:space="preserve">, </w:t>
      </w:r>
      <w:r w:rsidRPr="00CF0948">
        <w:rPr>
          <w:i/>
          <w:iCs/>
          <w:noProof/>
        </w:rPr>
        <w:t>17</w:t>
      </w:r>
      <w:r w:rsidRPr="00CF0948">
        <w:rPr>
          <w:noProof/>
        </w:rPr>
        <w:t>(2), 249–266. https://doi.org/10.1111/papr.12484</w:t>
      </w:r>
    </w:p>
    <w:p w14:paraId="50228188"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Ongaro, G., &amp; Kaptchuk, T. J. (2018). Symptom perception, placebo effects and the Bayesian brain. </w:t>
      </w:r>
      <w:r w:rsidRPr="00CF0948">
        <w:rPr>
          <w:i/>
          <w:iCs/>
          <w:noProof/>
        </w:rPr>
        <w:t>PAIN</w:t>
      </w:r>
      <w:r w:rsidRPr="00CF0948">
        <w:rPr>
          <w:noProof/>
        </w:rPr>
        <w:t>, 1. https://doi.org/10.1097/j.pain.0000000000001367</w:t>
      </w:r>
    </w:p>
    <w:p w14:paraId="56D01373"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Oono, Y., Nie, H., Matos, R. L., Wang, K., &amp; Arendt-Nielsen, L. (2011). The inter- and intra-individual variance in descending pain modulation evoked by different conditioning stimuli in healthy men. </w:t>
      </w:r>
      <w:r w:rsidRPr="00CF0948">
        <w:rPr>
          <w:i/>
          <w:iCs/>
          <w:noProof/>
        </w:rPr>
        <w:t>Scandinavian Journal of Pain</w:t>
      </w:r>
      <w:r w:rsidRPr="00CF0948">
        <w:rPr>
          <w:noProof/>
        </w:rPr>
        <w:t xml:space="preserve">, </w:t>
      </w:r>
      <w:r w:rsidRPr="00CF0948">
        <w:rPr>
          <w:i/>
          <w:iCs/>
          <w:noProof/>
        </w:rPr>
        <w:t>2</w:t>
      </w:r>
      <w:r w:rsidRPr="00CF0948">
        <w:rPr>
          <w:noProof/>
        </w:rPr>
        <w:t>(4), 162–169. https://doi.org/10.1016/j.sjpain.2011.05.006</w:t>
      </w:r>
    </w:p>
    <w:p w14:paraId="078702D7"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Otti, A., Guendel, H., Wohlschläger, A., Zimmer, C., &amp; Noll-Hussong, M. (2013). Frequency shifts in the anterior default mode network and the salience network in chronic pain disorder. </w:t>
      </w:r>
      <w:r w:rsidRPr="00CF0948">
        <w:rPr>
          <w:i/>
          <w:iCs/>
          <w:noProof/>
        </w:rPr>
        <w:t>BMC Psychiatry</w:t>
      </w:r>
      <w:r w:rsidRPr="00CF0948">
        <w:rPr>
          <w:noProof/>
        </w:rPr>
        <w:t xml:space="preserve">, </w:t>
      </w:r>
      <w:r w:rsidRPr="00CF0948">
        <w:rPr>
          <w:i/>
          <w:iCs/>
          <w:noProof/>
        </w:rPr>
        <w:t>13</w:t>
      </w:r>
      <w:r w:rsidRPr="00CF0948">
        <w:rPr>
          <w:noProof/>
        </w:rPr>
        <w:t>, 84. https://doi.org/10.1186/1471-244X-13-84</w:t>
      </w:r>
    </w:p>
    <w:p w14:paraId="6184A056"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Palmlöf, L., Holm, L. W., Alfredsson, L., &amp; Skillgate, E. (2016). Expectations of recovery: A prognostic factor in patients with neck pain undergoing manual therapy treatment. </w:t>
      </w:r>
      <w:r w:rsidRPr="00CF0948">
        <w:rPr>
          <w:i/>
          <w:iCs/>
          <w:noProof/>
        </w:rPr>
        <w:t>European Journal of Pain</w:t>
      </w:r>
      <w:r w:rsidRPr="00CF0948">
        <w:rPr>
          <w:noProof/>
        </w:rPr>
        <w:t xml:space="preserve">, </w:t>
      </w:r>
      <w:r w:rsidRPr="00CF0948">
        <w:rPr>
          <w:i/>
          <w:iCs/>
          <w:noProof/>
        </w:rPr>
        <w:t>20</w:t>
      </w:r>
      <w:r w:rsidRPr="00CF0948">
        <w:rPr>
          <w:noProof/>
        </w:rPr>
        <w:t>(9), 1384–1391. https://doi.org/10.1002/ejp.861</w:t>
      </w:r>
    </w:p>
    <w:p w14:paraId="3807DFDB"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Pinho-Ribeiro, F. A., Verri, W. A., &amp; Chiu, I. M. (2017). Nociceptor Sensory Neuron–Immune Interactions in Pain and Inflammation. </w:t>
      </w:r>
      <w:r w:rsidRPr="00CF0948">
        <w:rPr>
          <w:i/>
          <w:iCs/>
          <w:noProof/>
        </w:rPr>
        <w:t>Trends in Immunology</w:t>
      </w:r>
      <w:r w:rsidRPr="00CF0948">
        <w:rPr>
          <w:noProof/>
        </w:rPr>
        <w:t xml:space="preserve">, </w:t>
      </w:r>
      <w:r w:rsidRPr="00CF0948">
        <w:rPr>
          <w:i/>
          <w:iCs/>
          <w:noProof/>
        </w:rPr>
        <w:t>38</w:t>
      </w:r>
      <w:r w:rsidRPr="00CF0948">
        <w:rPr>
          <w:noProof/>
        </w:rPr>
        <w:t>(1), 5–19. https://doi.org/10.1016/j.it.2016.10.001</w:t>
      </w:r>
    </w:p>
    <w:p w14:paraId="21239B85"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Pires, D., Costa, D., Martins, I. D., &amp; Cruz, E. B. (2018). Tailoring pain neuroscience education and exercise programme for people with fibromyalgia who also have cognitive deficits: a case series. </w:t>
      </w:r>
      <w:r w:rsidRPr="00CF0948">
        <w:rPr>
          <w:i/>
          <w:iCs/>
          <w:noProof/>
        </w:rPr>
        <w:t>European Journal of Physiotherapy</w:t>
      </w:r>
      <w:r w:rsidRPr="00CF0948">
        <w:rPr>
          <w:noProof/>
        </w:rPr>
        <w:t xml:space="preserve">, </w:t>
      </w:r>
      <w:r w:rsidRPr="00CF0948">
        <w:rPr>
          <w:i/>
          <w:iCs/>
          <w:noProof/>
        </w:rPr>
        <w:t>20</w:t>
      </w:r>
      <w:r w:rsidRPr="00CF0948">
        <w:rPr>
          <w:noProof/>
        </w:rPr>
        <w:t>(3), 159–165. https://doi.org/10.1080/21679169.2018.1429492</w:t>
      </w:r>
    </w:p>
    <w:p w14:paraId="6E11F150"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Riel, H., Jensen, M. B., Olesen, J. L., Vicenzino, B., &amp; Rathleff, M. S. (2019). Self-dosed and pre-determined progressive heavy-slow resistance training have similar effects in people with plantar fasciopathy: a randomised trial. </w:t>
      </w:r>
      <w:r w:rsidRPr="00CF0948">
        <w:rPr>
          <w:i/>
          <w:iCs/>
          <w:noProof/>
        </w:rPr>
        <w:t>Journal of Physiotherapy</w:t>
      </w:r>
      <w:r w:rsidRPr="00CF0948">
        <w:rPr>
          <w:noProof/>
        </w:rPr>
        <w:t>. https://doi.org/10.1016/j.jphys.2019.05.011</w:t>
      </w:r>
    </w:p>
    <w:p w14:paraId="41638C83"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Rossettini, G., Carlino, E., &amp; Testa, M. (2018). Clinical relevance of contextual factors as triggers of placebo and nocebo effects in musculoskeletal pain. </w:t>
      </w:r>
      <w:r w:rsidRPr="00CF0948">
        <w:rPr>
          <w:i/>
          <w:iCs/>
          <w:noProof/>
        </w:rPr>
        <w:t>BMC Musculoskeletal Disorders</w:t>
      </w:r>
      <w:r w:rsidRPr="00CF0948">
        <w:rPr>
          <w:noProof/>
        </w:rPr>
        <w:t xml:space="preserve">, </w:t>
      </w:r>
      <w:r w:rsidRPr="00CF0948">
        <w:rPr>
          <w:i/>
          <w:iCs/>
          <w:noProof/>
        </w:rPr>
        <w:t>19</w:t>
      </w:r>
      <w:r w:rsidRPr="00CF0948">
        <w:rPr>
          <w:noProof/>
        </w:rPr>
        <w:t>(1), 27. https://doi.org/10.1186/s12891-018-1943-8</w:t>
      </w:r>
    </w:p>
    <w:p w14:paraId="23126092" w14:textId="77777777" w:rsidR="00CF0948" w:rsidRPr="00CF0948" w:rsidRDefault="00CF0948" w:rsidP="00CF0948">
      <w:pPr>
        <w:widowControl w:val="0"/>
        <w:autoSpaceDE w:val="0"/>
        <w:autoSpaceDN w:val="0"/>
        <w:adjustRightInd w:val="0"/>
        <w:ind w:left="480" w:hanging="480"/>
        <w:rPr>
          <w:noProof/>
        </w:rPr>
      </w:pPr>
      <w:r w:rsidRPr="00CF0948">
        <w:rPr>
          <w:noProof/>
        </w:rPr>
        <w:t>Salomons, T. V., Iannetti, G. D., Liang, M., &amp; Wood, J. N. (2016). The “Pain Matrix” in Pain-</w:t>
      </w:r>
      <w:r w:rsidRPr="00CF0948">
        <w:rPr>
          <w:noProof/>
        </w:rPr>
        <w:lastRenderedPageBreak/>
        <w:t xml:space="preserve">Free Individuals. </w:t>
      </w:r>
      <w:r w:rsidRPr="00CF0948">
        <w:rPr>
          <w:i/>
          <w:iCs/>
          <w:noProof/>
        </w:rPr>
        <w:t>JAMA Neurology</w:t>
      </w:r>
      <w:r w:rsidRPr="00CF0948">
        <w:rPr>
          <w:noProof/>
        </w:rPr>
        <w:t xml:space="preserve">, </w:t>
      </w:r>
      <w:r w:rsidRPr="00CF0948">
        <w:rPr>
          <w:i/>
          <w:iCs/>
          <w:noProof/>
        </w:rPr>
        <w:t>73</w:t>
      </w:r>
      <w:r w:rsidRPr="00CF0948">
        <w:rPr>
          <w:noProof/>
        </w:rPr>
        <w:t>(6), 755. https://doi.org/10.1001/jamaneurol.2016.0653</w:t>
      </w:r>
    </w:p>
    <w:p w14:paraId="130F98DC"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Schäfer, A. G. M., Joos, L. J., Roggemann, K., Waldvogel-Röcker, K., Pfingsten, M., &amp; Petzke, F. (2017). Pain experiences of patients with musculoskeletal pain + central sensitization: A comparative Group Delphi Study. </w:t>
      </w:r>
      <w:r w:rsidRPr="00CF0948">
        <w:rPr>
          <w:i/>
          <w:iCs/>
          <w:noProof/>
        </w:rPr>
        <w:t>PloS One</w:t>
      </w:r>
      <w:r w:rsidRPr="00CF0948">
        <w:rPr>
          <w:noProof/>
        </w:rPr>
        <w:t xml:space="preserve">, </w:t>
      </w:r>
      <w:r w:rsidRPr="00CF0948">
        <w:rPr>
          <w:i/>
          <w:iCs/>
          <w:noProof/>
        </w:rPr>
        <w:t>12</w:t>
      </w:r>
      <w:r w:rsidRPr="00CF0948">
        <w:rPr>
          <w:noProof/>
        </w:rPr>
        <w:t>(8), e0182207. https://doi.org/10.1371/journal.pone.0182207</w:t>
      </w:r>
    </w:p>
    <w:p w14:paraId="5867DEE7" w14:textId="77777777" w:rsidR="00CF0948" w:rsidRPr="00D62BD1" w:rsidRDefault="00CF0948" w:rsidP="00CF0948">
      <w:pPr>
        <w:widowControl w:val="0"/>
        <w:autoSpaceDE w:val="0"/>
        <w:autoSpaceDN w:val="0"/>
        <w:adjustRightInd w:val="0"/>
        <w:ind w:left="480" w:hanging="480"/>
        <w:rPr>
          <w:noProof/>
          <w:lang w:val="fr-FR"/>
        </w:rPr>
      </w:pPr>
      <w:r w:rsidRPr="00CF0948">
        <w:rPr>
          <w:noProof/>
        </w:rPr>
        <w:t xml:space="preserve">Sluka, K. A., &amp; Clauw, D. J. (2016). Neurobiology of fibromyalgia and chronic widespread pain. </w:t>
      </w:r>
      <w:r w:rsidRPr="00D62BD1">
        <w:rPr>
          <w:i/>
          <w:iCs/>
          <w:noProof/>
          <w:lang w:val="fr-FR"/>
        </w:rPr>
        <w:t>Neuroscience</w:t>
      </w:r>
      <w:r w:rsidRPr="00D62BD1">
        <w:rPr>
          <w:noProof/>
          <w:lang w:val="fr-FR"/>
        </w:rPr>
        <w:t xml:space="preserve">, </w:t>
      </w:r>
      <w:r w:rsidRPr="00D62BD1">
        <w:rPr>
          <w:i/>
          <w:iCs/>
          <w:noProof/>
          <w:lang w:val="fr-FR"/>
        </w:rPr>
        <w:t>338</w:t>
      </w:r>
      <w:r w:rsidRPr="00D62BD1">
        <w:rPr>
          <w:noProof/>
          <w:lang w:val="fr-FR"/>
        </w:rPr>
        <w:t>, 114–129. https://doi.org/10.1016/j.neuroscience.2016.06.006</w:t>
      </w:r>
    </w:p>
    <w:p w14:paraId="23DF197D" w14:textId="77777777" w:rsidR="00CF0948" w:rsidRPr="00CF0948" w:rsidRDefault="00CF0948" w:rsidP="00CF0948">
      <w:pPr>
        <w:widowControl w:val="0"/>
        <w:autoSpaceDE w:val="0"/>
        <w:autoSpaceDN w:val="0"/>
        <w:adjustRightInd w:val="0"/>
        <w:ind w:left="480" w:hanging="480"/>
        <w:rPr>
          <w:noProof/>
        </w:rPr>
      </w:pPr>
      <w:r w:rsidRPr="00D62BD1">
        <w:rPr>
          <w:noProof/>
          <w:lang w:val="fr-FR"/>
        </w:rPr>
        <w:t xml:space="preserve">Sluka, K. A., O’Donnell, J. M., Danielson, J., &amp; Rasmussen, L. A. (2013). </w:t>
      </w:r>
      <w:r w:rsidRPr="00CF0948">
        <w:rPr>
          <w:noProof/>
        </w:rPr>
        <w:t xml:space="preserve">Regular physical activity prevents development of chronic pain and activation of central neurons. </w:t>
      </w:r>
      <w:r w:rsidRPr="00CF0948">
        <w:rPr>
          <w:i/>
          <w:iCs/>
          <w:noProof/>
        </w:rPr>
        <w:t>Journal of Applied Physiology (Bethesda, Md. : 1985)</w:t>
      </w:r>
      <w:r w:rsidRPr="00CF0948">
        <w:rPr>
          <w:noProof/>
        </w:rPr>
        <w:t xml:space="preserve">, </w:t>
      </w:r>
      <w:r w:rsidRPr="00CF0948">
        <w:rPr>
          <w:i/>
          <w:iCs/>
          <w:noProof/>
        </w:rPr>
        <w:t>114</w:t>
      </w:r>
      <w:r w:rsidRPr="00CF0948">
        <w:rPr>
          <w:noProof/>
        </w:rPr>
        <w:t>(6), 725–733. https://doi.org/10.1152/japplphysiol.01317.2012</w:t>
      </w:r>
    </w:p>
    <w:p w14:paraId="40E19485"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Smith, B. E., Hendrick, P., Bateman, M., Holden, S., Littlewood, C., Smith, T. O., &amp; Logan, P. (2018). Musculoskeletal pain and exercise—challenging existing paradigms and introducing new. </w:t>
      </w:r>
      <w:r w:rsidRPr="00CF0948">
        <w:rPr>
          <w:i/>
          <w:iCs/>
          <w:noProof/>
        </w:rPr>
        <w:t>Br J Sports Med</w:t>
      </w:r>
      <w:r w:rsidRPr="00CF0948">
        <w:rPr>
          <w:noProof/>
        </w:rPr>
        <w:t>, bjsports-2017-098983. https://doi.org/10.1136/bjsports-2017-098983</w:t>
      </w:r>
    </w:p>
    <w:p w14:paraId="290B906E"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Söderlund, A., Sandborgh, M., &amp; Johansson, A.-C. (2017). Is self-efficacy and catastrophizing in pain-related disability mediated by control over pain and ability to decrease pain in whiplash-associated disorders? </w:t>
      </w:r>
      <w:r w:rsidRPr="00CF0948">
        <w:rPr>
          <w:i/>
          <w:iCs/>
          <w:noProof/>
        </w:rPr>
        <w:t>Physiotherapy Theory and Practice</w:t>
      </w:r>
      <w:r w:rsidRPr="00CF0948">
        <w:rPr>
          <w:noProof/>
        </w:rPr>
        <w:t xml:space="preserve">, </w:t>
      </w:r>
      <w:r w:rsidRPr="00CF0948">
        <w:rPr>
          <w:i/>
          <w:iCs/>
          <w:noProof/>
        </w:rPr>
        <w:t>33</w:t>
      </w:r>
      <w:r w:rsidRPr="00CF0948">
        <w:rPr>
          <w:noProof/>
        </w:rPr>
        <w:t>(5), 376–385. https://doi.org/10.1080/09593985.2017.1307890</w:t>
      </w:r>
    </w:p>
    <w:p w14:paraId="3BB084D5"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Starkweather, A. R., Heineman, A., Storey, S., Rubia, G., Lyon, D. E., Greenspan, J., &amp; Dorsey, S. G. (2016). Methods to measure peripheral and central sensitization using quantitative sensory testing: A focus on individuals with low back pain. </w:t>
      </w:r>
      <w:r w:rsidRPr="00CF0948">
        <w:rPr>
          <w:i/>
          <w:iCs/>
          <w:noProof/>
        </w:rPr>
        <w:t>Applied Nursing Research</w:t>
      </w:r>
      <w:r w:rsidRPr="00CF0948">
        <w:rPr>
          <w:noProof/>
        </w:rPr>
        <w:t xml:space="preserve">, </w:t>
      </w:r>
      <w:r w:rsidRPr="00CF0948">
        <w:rPr>
          <w:i/>
          <w:iCs/>
          <w:noProof/>
        </w:rPr>
        <w:t>29</w:t>
      </w:r>
      <w:r w:rsidRPr="00CF0948">
        <w:rPr>
          <w:noProof/>
        </w:rPr>
        <w:t>, 237–241. https://doi.org/10.1016/j.apnr.2015.03.013</w:t>
      </w:r>
    </w:p>
    <w:p w14:paraId="7DE4B40B"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Staud, R. (2013). The important role of CNS facilitation and inhibition for chronic pain. </w:t>
      </w:r>
      <w:r w:rsidRPr="00CF0948">
        <w:rPr>
          <w:i/>
          <w:iCs/>
          <w:noProof/>
        </w:rPr>
        <w:t>International Journal of Clinical Rheumatology</w:t>
      </w:r>
      <w:r w:rsidRPr="00CF0948">
        <w:rPr>
          <w:noProof/>
        </w:rPr>
        <w:t xml:space="preserve">, </w:t>
      </w:r>
      <w:r w:rsidRPr="00CF0948">
        <w:rPr>
          <w:i/>
          <w:iCs/>
          <w:noProof/>
        </w:rPr>
        <w:t>8</w:t>
      </w:r>
      <w:r w:rsidRPr="00CF0948">
        <w:rPr>
          <w:noProof/>
        </w:rPr>
        <w:t>(6), 639. https://doi.org/10.2217/ijr.13.57</w:t>
      </w:r>
    </w:p>
    <w:p w14:paraId="49DC13F0"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Stutz, J., Eiholzer, R., &amp; Spengler, C. M. (2018). Effects of Evening Exercise on Sleep in Healthy Participants: A Systematic Review and Meta-Analysis. </w:t>
      </w:r>
      <w:r w:rsidRPr="00CF0948">
        <w:rPr>
          <w:i/>
          <w:iCs/>
          <w:noProof/>
        </w:rPr>
        <w:t>Sports Medicine</w:t>
      </w:r>
      <w:r w:rsidRPr="00CF0948">
        <w:rPr>
          <w:noProof/>
        </w:rPr>
        <w:t>, 1–19. https://doi.org/10.1007/s40279-018-1015-0</w:t>
      </w:r>
    </w:p>
    <w:p w14:paraId="1AF5C777" w14:textId="77777777" w:rsidR="00CF0948" w:rsidRPr="00CF0948" w:rsidRDefault="00CF0948" w:rsidP="00CF0948">
      <w:pPr>
        <w:widowControl w:val="0"/>
        <w:autoSpaceDE w:val="0"/>
        <w:autoSpaceDN w:val="0"/>
        <w:adjustRightInd w:val="0"/>
        <w:ind w:left="480" w:hanging="480"/>
        <w:rPr>
          <w:noProof/>
        </w:rPr>
      </w:pPr>
      <w:r w:rsidRPr="00CF0948">
        <w:rPr>
          <w:noProof/>
        </w:rPr>
        <w:t>Svedmark, Å., Häger, C., Jull, G., &amp; Björklund, M. (2016). Is tailored treatment superior to non-tailored treatment for pain and disability in women with non-specific neck pain? A randomized controlled trial. https://doi.org/10.1186/s12891-016-1263-9</w:t>
      </w:r>
    </w:p>
    <w:p w14:paraId="61F1DB92"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Tabor, A., Thacker, M. A., Moseley, G. L., &amp; Körding, K. P. (2017). Pain: A Statistical Account. </w:t>
      </w:r>
      <w:r w:rsidRPr="00CF0948">
        <w:rPr>
          <w:i/>
          <w:iCs/>
          <w:noProof/>
        </w:rPr>
        <w:t>PLOS Computational Biology</w:t>
      </w:r>
      <w:r w:rsidRPr="00CF0948">
        <w:rPr>
          <w:noProof/>
        </w:rPr>
        <w:t xml:space="preserve">, </w:t>
      </w:r>
      <w:r w:rsidRPr="00CF0948">
        <w:rPr>
          <w:i/>
          <w:iCs/>
          <w:noProof/>
        </w:rPr>
        <w:t>13</w:t>
      </w:r>
      <w:r w:rsidRPr="00CF0948">
        <w:rPr>
          <w:noProof/>
        </w:rPr>
        <w:t>(1), e1005142. https://doi.org/10.1371/journal.pcbi.1005142</w:t>
      </w:r>
    </w:p>
    <w:p w14:paraId="16816AD9"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Taylor, A. J., &amp; Kerry, R. (2017). When Chronic Pain Is Not “Chronic Pain”: Lessons From 3 Decades of Pain. </w:t>
      </w:r>
      <w:r w:rsidRPr="00CF0948">
        <w:rPr>
          <w:i/>
          <w:iCs/>
          <w:noProof/>
        </w:rPr>
        <w:t>Journal of Orthopaedic &amp; Sports Physical Therapy</w:t>
      </w:r>
      <w:r w:rsidRPr="00CF0948">
        <w:rPr>
          <w:noProof/>
        </w:rPr>
        <w:t xml:space="preserve">, </w:t>
      </w:r>
      <w:r w:rsidRPr="00CF0948">
        <w:rPr>
          <w:i/>
          <w:iCs/>
          <w:noProof/>
        </w:rPr>
        <w:t>47</w:t>
      </w:r>
      <w:r w:rsidRPr="00CF0948">
        <w:rPr>
          <w:noProof/>
        </w:rPr>
        <w:t>(8), 515–517. https://doi.org/10.2519/jospt.2017.0606</w:t>
      </w:r>
    </w:p>
    <w:p w14:paraId="7DECD581"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Tegner, H., Frederiksen, P., Esbensen, B. A., &amp; Juhl, C. (2018). Neurophysiological Pain-education for Patients with Chronic Low Back Pain – A Systematic Review and Meta-analysis. </w:t>
      </w:r>
      <w:r w:rsidRPr="00CF0948">
        <w:rPr>
          <w:i/>
          <w:iCs/>
          <w:noProof/>
        </w:rPr>
        <w:t>The Clinical Journal of Pain</w:t>
      </w:r>
      <w:r w:rsidRPr="00CF0948">
        <w:rPr>
          <w:noProof/>
        </w:rPr>
        <w:t>, 1. https://doi.org/10.1097/AJP.0000000000000594</w:t>
      </w:r>
    </w:p>
    <w:p w14:paraId="01C7AB6E"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Testa, M., &amp; Rossettini, G. (2016). Enhance placebo, avoid nocebo: How contextual factors affect physiotherapy outcomes. </w:t>
      </w:r>
      <w:r w:rsidRPr="00CF0948">
        <w:rPr>
          <w:i/>
          <w:iCs/>
          <w:noProof/>
        </w:rPr>
        <w:t>Manual Therapy</w:t>
      </w:r>
      <w:r w:rsidRPr="00CF0948">
        <w:rPr>
          <w:noProof/>
        </w:rPr>
        <w:t>. https://doi.org/10.1016/j.math.2016.04.006</w:t>
      </w:r>
    </w:p>
    <w:p w14:paraId="64084E49"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Traeger, A. C., Lee, H., Hübscher, M., Skinner, I. W., Moseley, G. L., Nicholas, M. K., … McAuley, J. H. (2019). Effect of Intensive Patient Education vs Placebo Patient Education on Outcomes in Patients With Acute Low Back Pain. </w:t>
      </w:r>
      <w:r w:rsidRPr="00CF0948">
        <w:rPr>
          <w:i/>
          <w:iCs/>
          <w:noProof/>
        </w:rPr>
        <w:t>JAMA Neurology</w:t>
      </w:r>
      <w:r w:rsidRPr="00CF0948">
        <w:rPr>
          <w:noProof/>
        </w:rPr>
        <w:t xml:space="preserve">, </w:t>
      </w:r>
      <w:r w:rsidRPr="00CF0948">
        <w:rPr>
          <w:i/>
          <w:iCs/>
          <w:noProof/>
        </w:rPr>
        <w:t>76</w:t>
      </w:r>
      <w:r w:rsidRPr="00CF0948">
        <w:rPr>
          <w:noProof/>
        </w:rPr>
        <w:t>(2), 161. https://doi.org/10.1001/jamaneurol.2018.3376</w:t>
      </w:r>
    </w:p>
    <w:p w14:paraId="2DB0309F"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Tsay, A., Allen, T. J., Proske, U., &amp; Giummarra, M. J. (2015). Sensing the body in chronic pain: </w:t>
      </w:r>
      <w:r w:rsidRPr="00CF0948">
        <w:rPr>
          <w:noProof/>
        </w:rPr>
        <w:lastRenderedPageBreak/>
        <w:t xml:space="preserve">A review of psychophysical studies implicating altered body representation. </w:t>
      </w:r>
      <w:r w:rsidRPr="00CF0948">
        <w:rPr>
          <w:i/>
          <w:iCs/>
          <w:noProof/>
        </w:rPr>
        <w:t>Neuroscience and Biobehavioral Reviews</w:t>
      </w:r>
      <w:r w:rsidRPr="00CF0948">
        <w:rPr>
          <w:noProof/>
        </w:rPr>
        <w:t xml:space="preserve">, </w:t>
      </w:r>
      <w:r w:rsidRPr="00CF0948">
        <w:rPr>
          <w:i/>
          <w:iCs/>
          <w:noProof/>
        </w:rPr>
        <w:t>52</w:t>
      </w:r>
      <w:r w:rsidRPr="00CF0948">
        <w:rPr>
          <w:noProof/>
        </w:rPr>
        <w:t>, 221–232. https://doi.org/10.1016/j.neubiorev.2015.03.004</w:t>
      </w:r>
    </w:p>
    <w:p w14:paraId="5B461608"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Vaegter, H.B., Hoeger Bement, M., Madsen, A. B., Fridriksson, J., Dasa, M., &amp; Graven-Nielsen, T. (2017). Exercise increases pressure pain tolerance but not pressure and heat pain thresholds in healthy young men. </w:t>
      </w:r>
      <w:r w:rsidRPr="00CF0948">
        <w:rPr>
          <w:i/>
          <w:iCs/>
          <w:noProof/>
        </w:rPr>
        <w:t>European Journal of Pain</w:t>
      </w:r>
      <w:r w:rsidRPr="00CF0948">
        <w:rPr>
          <w:noProof/>
        </w:rPr>
        <w:t xml:space="preserve">, </w:t>
      </w:r>
      <w:r w:rsidRPr="00CF0948">
        <w:rPr>
          <w:i/>
          <w:iCs/>
          <w:noProof/>
        </w:rPr>
        <w:t>21</w:t>
      </w:r>
      <w:r w:rsidRPr="00CF0948">
        <w:rPr>
          <w:noProof/>
        </w:rPr>
        <w:t>(1), 73–81. https://doi.org/10.1002/ejp.901</w:t>
      </w:r>
    </w:p>
    <w:p w14:paraId="2AC81BAE"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Vaegter, Henrik Bjarke, Dørge, D. B., Schmidt, K. S., Jensen, A. H., &amp; Graven-Nielsen, T. (2018). Test-Retest Reliabilty of Exercise-Induced Hypoalgesia After Aerobic Exercise. </w:t>
      </w:r>
      <w:r w:rsidRPr="00CF0948">
        <w:rPr>
          <w:i/>
          <w:iCs/>
          <w:noProof/>
        </w:rPr>
        <w:t>Pain Medicine</w:t>
      </w:r>
      <w:r w:rsidRPr="00CF0948">
        <w:rPr>
          <w:noProof/>
        </w:rPr>
        <w:t>. https://doi.org/10.1093/pm/pny009</w:t>
      </w:r>
    </w:p>
    <w:p w14:paraId="59DAB5D4"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Vaegter, Henrik Bjarke, Lyng, K. D., Yttereng, F. W., Christensen, M. H., Sørensen, M. B., &amp; Graven-Nielsen, T. (2018). Exercise-Induced Hypoalgesia After Isometric Wall Squat Exercise: A Test-Retest Reliabilty Study. </w:t>
      </w:r>
      <w:r w:rsidRPr="00CF0948">
        <w:rPr>
          <w:i/>
          <w:iCs/>
          <w:noProof/>
        </w:rPr>
        <w:t>Pain Medicine</w:t>
      </w:r>
      <w:r w:rsidRPr="00CF0948">
        <w:rPr>
          <w:noProof/>
        </w:rPr>
        <w:t>. https://doi.org/10.1093/pm/pny087</w:t>
      </w:r>
    </w:p>
    <w:p w14:paraId="367E7B21"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van Wilgen, C. P., Vuijk, P. J., Kregel, J., Voogt, L., Meeus, M., Descheemaeker, F., … Nijs, J. (2018). Psychological Distress and Widespread Pain Contribute to the Variance of the Central Sensitization Inventory: A Cross-Sectional Study in Patients with Chronic Pain. </w:t>
      </w:r>
      <w:r w:rsidRPr="00CF0948">
        <w:rPr>
          <w:i/>
          <w:iCs/>
          <w:noProof/>
        </w:rPr>
        <w:t>Pain Practice</w:t>
      </w:r>
      <w:r w:rsidRPr="00CF0948">
        <w:rPr>
          <w:noProof/>
        </w:rPr>
        <w:t xml:space="preserve">, </w:t>
      </w:r>
      <w:r w:rsidRPr="00CF0948">
        <w:rPr>
          <w:i/>
          <w:iCs/>
          <w:noProof/>
        </w:rPr>
        <w:t>18</w:t>
      </w:r>
      <w:r w:rsidRPr="00CF0948">
        <w:rPr>
          <w:noProof/>
        </w:rPr>
        <w:t>(2), 239–246. https://doi.org/10.1111/papr.12600</w:t>
      </w:r>
    </w:p>
    <w:p w14:paraId="2D467728"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Wertli, M. M., Rasmussen-Barr, E., Held, U., Weiser, S., Bachmann, L. M., &amp; Brunner, F. (2014). Fear-avoidance beliefs—a moderator of treatment efficacy in patients with low back pain: a systematic review. </w:t>
      </w:r>
      <w:r w:rsidRPr="00CF0948">
        <w:rPr>
          <w:i/>
          <w:iCs/>
          <w:noProof/>
        </w:rPr>
        <w:t>The Spine Journal</w:t>
      </w:r>
      <w:r w:rsidRPr="00CF0948">
        <w:rPr>
          <w:noProof/>
        </w:rPr>
        <w:t xml:space="preserve">, </w:t>
      </w:r>
      <w:r w:rsidRPr="00CF0948">
        <w:rPr>
          <w:i/>
          <w:iCs/>
          <w:noProof/>
        </w:rPr>
        <w:t>14</w:t>
      </w:r>
      <w:r w:rsidRPr="00CF0948">
        <w:rPr>
          <w:noProof/>
        </w:rPr>
        <w:t>(11), 2658–2678. https://doi.org/10.1016/j.spinee.2014.02.033</w:t>
      </w:r>
    </w:p>
    <w:p w14:paraId="03560F07"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Wiech, K., Lin, C., Brodersen, K. H., Bingel, U., Ploner, M., &amp; Tracey, I. (2010). Anterior insula integrates information about salience into perceptual decisions about pain. </w:t>
      </w:r>
      <w:r w:rsidRPr="00CF0948">
        <w:rPr>
          <w:i/>
          <w:iCs/>
          <w:noProof/>
        </w:rPr>
        <w:t>The Journal of Neuroscience : The Official Journal of the Society for Neuroscience</w:t>
      </w:r>
      <w:r w:rsidRPr="00CF0948">
        <w:rPr>
          <w:noProof/>
        </w:rPr>
        <w:t xml:space="preserve">, </w:t>
      </w:r>
      <w:r w:rsidRPr="00CF0948">
        <w:rPr>
          <w:i/>
          <w:iCs/>
          <w:noProof/>
        </w:rPr>
        <w:t>30</w:t>
      </w:r>
      <w:r w:rsidRPr="00CF0948">
        <w:rPr>
          <w:noProof/>
        </w:rPr>
        <w:t>(48), 16324–16331. https://doi.org/10.1523/JNEUROSCI.2087-10.2010</w:t>
      </w:r>
    </w:p>
    <w:p w14:paraId="178B3CB0"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Wijma, A. J., van Wilgen, C. P., Meeus, M., &amp; Nijs, J. (2016). Clinical biopsychosocial physiotherapy assessment of patients with chronic pain: The first step in pain neuroscience education. </w:t>
      </w:r>
      <w:r w:rsidRPr="00CF0948">
        <w:rPr>
          <w:i/>
          <w:iCs/>
          <w:noProof/>
        </w:rPr>
        <w:t>Physiotherapy Theory and Practice</w:t>
      </w:r>
      <w:r w:rsidRPr="00CF0948">
        <w:rPr>
          <w:noProof/>
        </w:rPr>
        <w:t xml:space="preserve">, </w:t>
      </w:r>
      <w:r w:rsidRPr="00CF0948">
        <w:rPr>
          <w:i/>
          <w:iCs/>
          <w:noProof/>
        </w:rPr>
        <w:t>32</w:t>
      </w:r>
      <w:r w:rsidRPr="00CF0948">
        <w:rPr>
          <w:noProof/>
        </w:rPr>
        <w:t>(5), 368–384. https://doi.org/10.1080/09593985.2016.1194651</w:t>
      </w:r>
    </w:p>
    <w:p w14:paraId="53A3E7CE"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Wong, A. Y. L., Parent, E. C., Funabashi, M., &amp; Kawchuk, G. N. (2014). Do Changes in Transversus Abdominis and Lumbar Multifidus During Conservative Treatment Explain Changes in Clinical Outcomes Related to Nonspecific Low Back Pain? A Systematic Review. </w:t>
      </w:r>
      <w:r w:rsidRPr="00CF0948">
        <w:rPr>
          <w:i/>
          <w:iCs/>
          <w:noProof/>
        </w:rPr>
        <w:t>The Journal of Pain</w:t>
      </w:r>
      <w:r w:rsidRPr="00CF0948">
        <w:rPr>
          <w:noProof/>
        </w:rPr>
        <w:t xml:space="preserve">, </w:t>
      </w:r>
      <w:r w:rsidRPr="00CF0948">
        <w:rPr>
          <w:i/>
          <w:iCs/>
          <w:noProof/>
        </w:rPr>
        <w:t>15</w:t>
      </w:r>
      <w:r w:rsidRPr="00CF0948">
        <w:rPr>
          <w:noProof/>
        </w:rPr>
        <w:t>(4), 377.e1-377.e35. https://doi.org/10.1016/j.jpain.2013.10.008</w:t>
      </w:r>
    </w:p>
    <w:p w14:paraId="5200A8B2"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Wong, W. S., Lam, H. M. J., Chow, Y. F., Chen, P. P., Lim, H. S., Wong, S., &amp; Fielding, R. (2014). The effects of anxiety sensitivity, pain hypervigilance, and pain catastrophizing on quality of life outcomes of patients with chronic pain: a preliminary, cross-sectional analysis. </w:t>
      </w:r>
      <w:r w:rsidRPr="00CF0948">
        <w:rPr>
          <w:i/>
          <w:iCs/>
          <w:noProof/>
        </w:rPr>
        <w:t>Quality of Life Research</w:t>
      </w:r>
      <w:r w:rsidRPr="00CF0948">
        <w:rPr>
          <w:noProof/>
        </w:rPr>
        <w:t xml:space="preserve">, </w:t>
      </w:r>
      <w:r w:rsidRPr="00CF0948">
        <w:rPr>
          <w:i/>
          <w:iCs/>
          <w:noProof/>
        </w:rPr>
        <w:t>23</w:t>
      </w:r>
      <w:r w:rsidRPr="00CF0948">
        <w:rPr>
          <w:noProof/>
        </w:rPr>
        <w:t>(8), 2333–2341. https://doi.org/10.1007/s11136-014-0683-y</w:t>
      </w:r>
    </w:p>
    <w:p w14:paraId="7E548CDA"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Wood, L., &amp; Hendrick, P. A. (2019). A systematic review and meta-analysis of pain neuroscience education for chronic low back pain: Short-and long-term outcomes of pain and disability. </w:t>
      </w:r>
      <w:r w:rsidRPr="00CF0948">
        <w:rPr>
          <w:i/>
          <w:iCs/>
          <w:noProof/>
        </w:rPr>
        <w:t>European Journal of Pain</w:t>
      </w:r>
      <w:r w:rsidRPr="00CF0948">
        <w:rPr>
          <w:noProof/>
        </w:rPr>
        <w:t xml:space="preserve">, </w:t>
      </w:r>
      <w:r w:rsidRPr="00CF0948">
        <w:rPr>
          <w:i/>
          <w:iCs/>
          <w:noProof/>
        </w:rPr>
        <w:t>23</w:t>
      </w:r>
      <w:r w:rsidRPr="00CF0948">
        <w:rPr>
          <w:noProof/>
        </w:rPr>
        <w:t>(2), 234–249. https://doi.org/10.1002/ejp.1314</w:t>
      </w:r>
    </w:p>
    <w:p w14:paraId="0CAC7F62"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Woolf, C. J. (2011). Central sensitization: Implications for the diagnosis and treatment of pain. </w:t>
      </w:r>
      <w:r w:rsidRPr="00CF0948">
        <w:rPr>
          <w:i/>
          <w:iCs/>
          <w:noProof/>
        </w:rPr>
        <w:t>Pain</w:t>
      </w:r>
      <w:r w:rsidRPr="00CF0948">
        <w:rPr>
          <w:noProof/>
        </w:rPr>
        <w:t xml:space="preserve">, </w:t>
      </w:r>
      <w:r w:rsidRPr="00CF0948">
        <w:rPr>
          <w:i/>
          <w:iCs/>
          <w:noProof/>
        </w:rPr>
        <w:t>152</w:t>
      </w:r>
      <w:r w:rsidRPr="00CF0948">
        <w:rPr>
          <w:noProof/>
        </w:rPr>
        <w:t>(Supplement), S2–S15. https://doi.org/10.1016/j.pain.2010.09.030</w:t>
      </w:r>
    </w:p>
    <w:p w14:paraId="509F9390" w14:textId="77777777" w:rsidR="00CF0948" w:rsidRPr="00CF0948" w:rsidRDefault="00CF0948" w:rsidP="00CF0948">
      <w:pPr>
        <w:widowControl w:val="0"/>
        <w:autoSpaceDE w:val="0"/>
        <w:autoSpaceDN w:val="0"/>
        <w:adjustRightInd w:val="0"/>
        <w:ind w:left="480" w:hanging="480"/>
        <w:rPr>
          <w:noProof/>
        </w:rPr>
      </w:pPr>
      <w:r w:rsidRPr="00CF0948">
        <w:rPr>
          <w:noProof/>
        </w:rPr>
        <w:t xml:space="preserve">Yarnitsky, D. (2010). Conditioned pain modulation (the diffuse noxious inhibitory control-like effect): its relevance for acute and chronic pain states. </w:t>
      </w:r>
      <w:r w:rsidRPr="00CF0948">
        <w:rPr>
          <w:i/>
          <w:iCs/>
          <w:noProof/>
        </w:rPr>
        <w:t>Current Opinion in Anaesthesiology</w:t>
      </w:r>
      <w:r w:rsidRPr="00CF0948">
        <w:rPr>
          <w:noProof/>
        </w:rPr>
        <w:t xml:space="preserve">, </w:t>
      </w:r>
      <w:r w:rsidRPr="00CF0948">
        <w:rPr>
          <w:i/>
          <w:iCs/>
          <w:noProof/>
        </w:rPr>
        <w:t>23</w:t>
      </w:r>
      <w:r w:rsidRPr="00CF0948">
        <w:rPr>
          <w:noProof/>
        </w:rPr>
        <w:t>(5), 611–615. https://doi.org/10.1097/ACO.0b013e32833c348b</w:t>
      </w:r>
    </w:p>
    <w:p w14:paraId="14ECE7A9" w14:textId="77777777" w:rsidR="00041CC7" w:rsidRPr="00833983" w:rsidRDefault="00041CC7" w:rsidP="00833983">
      <w:r>
        <w:fldChar w:fldCharType="end"/>
      </w:r>
    </w:p>
    <w:sectPr w:rsidR="00041CC7" w:rsidRPr="00833983" w:rsidSect="009B19A1">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D72"/>
    <w:rsid w:val="00026000"/>
    <w:rsid w:val="00041CC7"/>
    <w:rsid w:val="00044F3A"/>
    <w:rsid w:val="00046357"/>
    <w:rsid w:val="00053E04"/>
    <w:rsid w:val="00061DDB"/>
    <w:rsid w:val="00064265"/>
    <w:rsid w:val="00123667"/>
    <w:rsid w:val="001653C3"/>
    <w:rsid w:val="00186E55"/>
    <w:rsid w:val="001D4956"/>
    <w:rsid w:val="001F53B7"/>
    <w:rsid w:val="002053D5"/>
    <w:rsid w:val="00245F34"/>
    <w:rsid w:val="0025202F"/>
    <w:rsid w:val="002973F9"/>
    <w:rsid w:val="002A7DC8"/>
    <w:rsid w:val="002C23D6"/>
    <w:rsid w:val="002D0557"/>
    <w:rsid w:val="002E28F0"/>
    <w:rsid w:val="003320DF"/>
    <w:rsid w:val="00441854"/>
    <w:rsid w:val="00483A34"/>
    <w:rsid w:val="004908A3"/>
    <w:rsid w:val="004A1D8A"/>
    <w:rsid w:val="004A6CDA"/>
    <w:rsid w:val="00543D72"/>
    <w:rsid w:val="005A242C"/>
    <w:rsid w:val="005B01E0"/>
    <w:rsid w:val="00692BCC"/>
    <w:rsid w:val="006D2A3D"/>
    <w:rsid w:val="006F4411"/>
    <w:rsid w:val="00743E22"/>
    <w:rsid w:val="007D19CA"/>
    <w:rsid w:val="00833983"/>
    <w:rsid w:val="00852091"/>
    <w:rsid w:val="008E46A6"/>
    <w:rsid w:val="009447F0"/>
    <w:rsid w:val="00945346"/>
    <w:rsid w:val="009642AF"/>
    <w:rsid w:val="00984E6B"/>
    <w:rsid w:val="009B19A1"/>
    <w:rsid w:val="009E76AC"/>
    <w:rsid w:val="00A1487B"/>
    <w:rsid w:val="00A21B3C"/>
    <w:rsid w:val="00A51ECC"/>
    <w:rsid w:val="00A83E0E"/>
    <w:rsid w:val="00A94A29"/>
    <w:rsid w:val="00AA5754"/>
    <w:rsid w:val="00AE1B53"/>
    <w:rsid w:val="00B20EE3"/>
    <w:rsid w:val="00B856C5"/>
    <w:rsid w:val="00BA745F"/>
    <w:rsid w:val="00BC2BE5"/>
    <w:rsid w:val="00BC43B4"/>
    <w:rsid w:val="00C024BE"/>
    <w:rsid w:val="00C35720"/>
    <w:rsid w:val="00CA0CD6"/>
    <w:rsid w:val="00CB0A81"/>
    <w:rsid w:val="00CB65EE"/>
    <w:rsid w:val="00CF0948"/>
    <w:rsid w:val="00CF7A37"/>
    <w:rsid w:val="00D11217"/>
    <w:rsid w:val="00D1357A"/>
    <w:rsid w:val="00D36F84"/>
    <w:rsid w:val="00D43D73"/>
    <w:rsid w:val="00D53B4F"/>
    <w:rsid w:val="00D62BD1"/>
    <w:rsid w:val="00DD462B"/>
    <w:rsid w:val="00E046FF"/>
    <w:rsid w:val="00E843E7"/>
    <w:rsid w:val="00E92E81"/>
    <w:rsid w:val="00EE5B3A"/>
    <w:rsid w:val="00F169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DE7D"/>
  <w15:chartTrackingRefBased/>
  <w15:docId w15:val="{6036BE47-2BE5-4236-A6DB-E53366D2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D72"/>
    <w:pPr>
      <w:spacing w:after="0" w:line="240" w:lineRule="auto"/>
    </w:pPr>
    <w:rPr>
      <w:rFonts w:ascii="Calibri" w:eastAsia="Calibri" w:hAnsi="Calibri" w:cs="Calibri"/>
      <w:sz w:val="24"/>
      <w:szCs w:val="24"/>
      <w:lang w:val="en-US" w:eastAsia="fr-FR"/>
    </w:rPr>
  </w:style>
  <w:style w:type="paragraph" w:styleId="Titre1">
    <w:name w:val="heading 1"/>
    <w:basedOn w:val="Normal"/>
    <w:next w:val="Normal"/>
    <w:link w:val="Titre1Car"/>
    <w:uiPriority w:val="9"/>
    <w:qFormat/>
    <w:rsid w:val="0083398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543D72"/>
    <w:pPr>
      <w:spacing w:after="0" w:line="240" w:lineRule="auto"/>
    </w:pPr>
    <w:rPr>
      <w:rFonts w:ascii="Calibri" w:eastAsia="Calibri" w:hAnsi="Calibri" w:cs="Calibri"/>
      <w:sz w:val="24"/>
      <w:szCs w:val="24"/>
      <w:lang w:val="en-US" w:eastAsia="fr-FR"/>
    </w:rPr>
  </w:style>
  <w:style w:type="paragraph" w:styleId="Titre">
    <w:name w:val="Title"/>
    <w:basedOn w:val="Normal"/>
    <w:next w:val="Normal"/>
    <w:link w:val="TitreCar"/>
    <w:uiPriority w:val="10"/>
    <w:qFormat/>
    <w:rsid w:val="0083398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33983"/>
    <w:rPr>
      <w:rFonts w:asciiTheme="majorHAnsi" w:eastAsiaTheme="majorEastAsia" w:hAnsiTheme="majorHAnsi" w:cstheme="majorBidi"/>
      <w:spacing w:val="-10"/>
      <w:kern w:val="28"/>
      <w:sz w:val="56"/>
      <w:szCs w:val="56"/>
      <w:lang w:val="en-US" w:eastAsia="fr-FR"/>
    </w:rPr>
  </w:style>
  <w:style w:type="paragraph" w:styleId="Sous-titre">
    <w:name w:val="Subtitle"/>
    <w:basedOn w:val="Normal"/>
    <w:next w:val="Normal"/>
    <w:link w:val="Sous-titreCar"/>
    <w:uiPriority w:val="11"/>
    <w:qFormat/>
    <w:rsid w:val="0083398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833983"/>
    <w:rPr>
      <w:rFonts w:eastAsiaTheme="minorEastAsia"/>
      <w:color w:val="5A5A5A" w:themeColor="text1" w:themeTint="A5"/>
      <w:spacing w:val="15"/>
      <w:lang w:val="en-US" w:eastAsia="fr-FR"/>
    </w:rPr>
  </w:style>
  <w:style w:type="character" w:customStyle="1" w:styleId="Titre1Car">
    <w:name w:val="Titre 1 Car"/>
    <w:basedOn w:val="Policepardfaut"/>
    <w:link w:val="Titre1"/>
    <w:uiPriority w:val="9"/>
    <w:rsid w:val="00833983"/>
    <w:rPr>
      <w:rFonts w:asciiTheme="majorHAnsi" w:eastAsiaTheme="majorEastAsia" w:hAnsiTheme="majorHAnsi" w:cstheme="majorBidi"/>
      <w:color w:val="2E74B5" w:themeColor="accent1" w:themeShade="BF"/>
      <w:sz w:val="32"/>
      <w:szCs w:val="32"/>
      <w:lang w:val="en-US" w:eastAsia="fr-FR"/>
    </w:rPr>
  </w:style>
  <w:style w:type="character" w:customStyle="1" w:styleId="3oh-">
    <w:name w:val="_3oh-"/>
    <w:basedOn w:val="Policepardfaut"/>
    <w:rsid w:val="00D62BD1"/>
  </w:style>
  <w:style w:type="table" w:styleId="TableauGrille5Fonc-Accentuation6">
    <w:name w:val="Grid Table 5 Dark Accent 6"/>
    <w:basedOn w:val="TableauNormal"/>
    <w:uiPriority w:val="50"/>
    <w:rsid w:val="00A83E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24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2B0CF-7D02-4EEF-8EB6-33E07DC6A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9</Pages>
  <Words>4935</Words>
  <Characters>27147</Characters>
  <Application>Microsoft Office Word</Application>
  <DocSecurity>0</DocSecurity>
  <Lines>226</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c:creator>
  <cp:keywords/>
  <dc:description/>
  <cp:lastModifiedBy>Anthony ..</cp:lastModifiedBy>
  <cp:revision>40</cp:revision>
  <dcterms:created xsi:type="dcterms:W3CDTF">2019-05-24T21:03:00Z</dcterms:created>
  <dcterms:modified xsi:type="dcterms:W3CDTF">2021-02-15T07:00:00Z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0c1897dc-0e43-3d13-8a71-d7d7e52d72b4</vt:lpwstr>
  </property>
  <property fmtid="{D5CDD505-2E9C-101B-9397-08002B2CF9AE}" pid="24" name="Mendeley Citation Style_1">
    <vt:lpwstr>http://www.zotero.org/styles/apa</vt:lpwstr>
  </property>
</Properties>
</file>